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F3E9" w14:textId="2B05A4EA" w:rsidR="003A6047" w:rsidRPr="0000309C" w:rsidRDefault="00BE3E3F" w:rsidP="003A6047">
      <w:pPr>
        <w:pStyle w:val="Title"/>
        <w:jc w:val="center"/>
        <w:rPr>
          <w:rFonts w:ascii="Cambria" w:hAnsi="Cambria"/>
          <w:color w:val="FF4815"/>
          <w:sz w:val="72"/>
          <w:szCs w:val="72"/>
          <w:lang w:val="en-US"/>
        </w:rPr>
      </w:pPr>
      <w:r w:rsidRPr="0000309C">
        <w:rPr>
          <w:rFonts w:ascii="Cambria" w:hAnsi="Cambria"/>
          <w:color w:val="FF4815"/>
          <w:sz w:val="72"/>
          <w:szCs w:val="72"/>
          <w:lang w:val="en-US"/>
        </w:rPr>
        <w:t>GFTAD</w:t>
      </w:r>
      <w:r w:rsidR="00CA4E6A" w:rsidRPr="0000309C">
        <w:rPr>
          <w:rFonts w:ascii="Cambria" w:hAnsi="Cambria"/>
          <w:color w:val="FF4815"/>
          <w:sz w:val="72"/>
          <w:szCs w:val="72"/>
          <w:lang w:val="en-US"/>
        </w:rPr>
        <w:t>s</w:t>
      </w:r>
      <w:r w:rsidRPr="0000309C">
        <w:rPr>
          <w:rFonts w:ascii="Cambria" w:hAnsi="Cambria"/>
          <w:color w:val="FF4815"/>
          <w:sz w:val="72"/>
          <w:szCs w:val="72"/>
          <w:lang w:val="en-US"/>
        </w:rPr>
        <w:t xml:space="preserve"> </w:t>
      </w:r>
      <w:r w:rsidR="003A6047" w:rsidRPr="0000309C">
        <w:rPr>
          <w:rFonts w:ascii="Cambria" w:hAnsi="Cambria"/>
          <w:color w:val="FF4815"/>
          <w:sz w:val="72"/>
          <w:szCs w:val="72"/>
          <w:lang w:val="en-US"/>
        </w:rPr>
        <w:t>for Europe</w:t>
      </w:r>
    </w:p>
    <w:p w14:paraId="1294654D" w14:textId="77777777" w:rsidR="003E542D" w:rsidRPr="0000309C" w:rsidRDefault="003E542D" w:rsidP="003E542D">
      <w:pPr>
        <w:rPr>
          <w:lang w:val="en-US"/>
        </w:rPr>
      </w:pPr>
    </w:p>
    <w:p w14:paraId="1A11D6E9" w14:textId="5352721D" w:rsidR="00C23A77" w:rsidRPr="0000309C" w:rsidRDefault="00957A9E" w:rsidP="003A6047">
      <w:pPr>
        <w:pStyle w:val="Title"/>
        <w:jc w:val="center"/>
        <w:rPr>
          <w:rFonts w:ascii="Cambria" w:hAnsi="Cambria"/>
          <w:color w:val="FF4815"/>
          <w:lang w:val="en-US"/>
        </w:rPr>
      </w:pPr>
      <w:r w:rsidRPr="0000309C">
        <w:rPr>
          <w:rFonts w:ascii="Cambria" w:hAnsi="Cambria"/>
          <w:color w:val="FF4815"/>
          <w:lang w:val="en-US"/>
        </w:rPr>
        <w:t>5</w:t>
      </w:r>
      <w:r w:rsidR="00C23A77" w:rsidRPr="0000309C">
        <w:rPr>
          <w:rFonts w:ascii="Cambria" w:hAnsi="Cambria"/>
          <w:color w:val="FF4815"/>
          <w:lang w:val="en-US"/>
        </w:rPr>
        <w:t>- year A</w:t>
      </w:r>
      <w:r w:rsidR="00BE3E3F" w:rsidRPr="0000309C">
        <w:rPr>
          <w:rFonts w:ascii="Cambria" w:hAnsi="Cambria"/>
          <w:color w:val="FF4815"/>
          <w:lang w:val="en-US"/>
        </w:rPr>
        <w:t xml:space="preserve">ction </w:t>
      </w:r>
      <w:r w:rsidR="005F2726">
        <w:rPr>
          <w:rFonts w:ascii="Cambria" w:hAnsi="Cambria"/>
          <w:color w:val="FF4815"/>
          <w:lang w:val="en-US"/>
        </w:rPr>
        <w:t>P</w:t>
      </w:r>
      <w:r w:rsidR="00BE3E3F" w:rsidRPr="0000309C">
        <w:rPr>
          <w:rFonts w:ascii="Cambria" w:hAnsi="Cambria"/>
          <w:color w:val="FF4815"/>
          <w:lang w:val="en-US"/>
        </w:rPr>
        <w:t xml:space="preserve">lan </w:t>
      </w:r>
    </w:p>
    <w:p w14:paraId="70DB2529" w14:textId="093FDE22" w:rsidR="00D53768" w:rsidRPr="0000309C" w:rsidRDefault="00BE3E3F" w:rsidP="003A6047">
      <w:pPr>
        <w:pStyle w:val="Title"/>
        <w:jc w:val="center"/>
        <w:rPr>
          <w:rFonts w:ascii="Cambria" w:hAnsi="Cambria"/>
          <w:color w:val="FF4815"/>
          <w:lang w:val="en-US"/>
        </w:rPr>
      </w:pPr>
      <w:r w:rsidRPr="17EB1BE1">
        <w:rPr>
          <w:rFonts w:ascii="Cambria" w:hAnsi="Cambria"/>
          <w:color w:val="FF4815"/>
          <w:lang w:val="en-US"/>
        </w:rPr>
        <w:t xml:space="preserve">for the </w:t>
      </w:r>
      <w:r w:rsidR="003E542D" w:rsidRPr="17EB1BE1">
        <w:rPr>
          <w:rFonts w:ascii="Cambria" w:hAnsi="Cambria"/>
          <w:color w:val="FF4815"/>
          <w:lang w:val="en-US"/>
        </w:rPr>
        <w:t>period 2023 - 2027</w:t>
      </w:r>
    </w:p>
    <w:p w14:paraId="054607DA" w14:textId="204E5C23" w:rsidR="00D62A3E" w:rsidRPr="00C326FA" w:rsidRDefault="00D62A3E" w:rsidP="399F684E">
      <w:pPr>
        <w:rPr>
          <w:lang w:val="en-US"/>
        </w:rPr>
      </w:pPr>
    </w:p>
    <w:p w14:paraId="43D97E65" w14:textId="2E4BF99F" w:rsidR="00D62A3E" w:rsidRPr="0000309C" w:rsidRDefault="00507724" w:rsidP="000043DE">
      <w:pPr>
        <w:rPr>
          <w:lang w:val="en-US"/>
        </w:rPr>
      </w:pPr>
      <w:r>
        <w:rPr>
          <w:noProof/>
          <w:lang w:val="en-US"/>
        </w:rPr>
        <w:drawing>
          <wp:anchor distT="0" distB="0" distL="114300" distR="114300" simplePos="0" relativeHeight="251658240" behindDoc="0" locked="0" layoutInCell="1" allowOverlap="1" wp14:anchorId="6B0E0128" wp14:editId="33B40FA5">
            <wp:simplePos x="0" y="0"/>
            <wp:positionH relativeFrom="margin">
              <wp:align>center</wp:align>
            </wp:positionH>
            <wp:positionV relativeFrom="paragraph">
              <wp:posOffset>329565</wp:posOffset>
            </wp:positionV>
            <wp:extent cx="3819525" cy="1678940"/>
            <wp:effectExtent l="0" t="0" r="0" b="0"/>
            <wp:wrapSquare wrapText="bothSides"/>
            <wp:docPr id="1737276166"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9525"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3E6">
        <w:rPr>
          <w:lang w:val="en-US"/>
        </w:rPr>
        <w:br w:type="textWrapping" w:clear="all"/>
      </w:r>
    </w:p>
    <w:p w14:paraId="732AA7D9" w14:textId="77777777" w:rsidR="00D62A3E" w:rsidRPr="0000309C" w:rsidRDefault="00D62A3E" w:rsidP="00D62A3E">
      <w:pPr>
        <w:rPr>
          <w:lang w:val="en-US"/>
        </w:rPr>
      </w:pPr>
    </w:p>
    <w:p w14:paraId="5284BFC0" w14:textId="77777777" w:rsidR="00696486" w:rsidRPr="0000309C" w:rsidRDefault="00696486">
      <w:pPr>
        <w:rPr>
          <w:rFonts w:asciiTheme="majorHAnsi" w:eastAsiaTheme="majorEastAsia" w:hAnsiTheme="majorHAnsi" w:cstheme="majorBidi"/>
          <w:color w:val="2F5496" w:themeColor="accent1" w:themeShade="BF"/>
          <w:sz w:val="32"/>
          <w:szCs w:val="32"/>
          <w:lang w:val="en-US"/>
        </w:rPr>
      </w:pPr>
      <w:r w:rsidRPr="0000309C">
        <w:rPr>
          <w:lang w:val="en-US"/>
        </w:rPr>
        <w:br w:type="page"/>
      </w:r>
    </w:p>
    <w:p w14:paraId="145CA6ED" w14:textId="2CAF0CA4" w:rsidR="0063322A" w:rsidRPr="0000309C" w:rsidRDefault="0063322A" w:rsidP="0063322A">
      <w:pPr>
        <w:pStyle w:val="Heading1"/>
        <w:rPr>
          <w:lang w:val="en-US"/>
        </w:rPr>
      </w:pPr>
      <w:r w:rsidRPr="0000309C">
        <w:rPr>
          <w:lang w:val="en-US"/>
        </w:rPr>
        <w:t>Introduction</w:t>
      </w:r>
    </w:p>
    <w:p w14:paraId="1E53CCB6" w14:textId="77777777" w:rsidR="0051030D" w:rsidRPr="0000309C" w:rsidRDefault="0051030D" w:rsidP="0051030D">
      <w:pPr>
        <w:rPr>
          <w:lang w:val="en-US"/>
        </w:rPr>
      </w:pPr>
    </w:p>
    <w:p w14:paraId="0DDD5889" w14:textId="1CF0AD63" w:rsidR="00696486" w:rsidRPr="0000309C" w:rsidRDefault="00696486" w:rsidP="696E6AAE">
      <w:pPr>
        <w:jc w:val="both"/>
        <w:rPr>
          <w:lang w:val="en-US"/>
        </w:rPr>
      </w:pPr>
      <w:r w:rsidRPr="0000309C">
        <w:rPr>
          <w:lang w:val="en-US"/>
        </w:rPr>
        <w:t xml:space="preserve">The Global Framework for the Progressive Control of Transboundary Animal Diseases (GF-TADs), launched in 2004 is a joint initiative of FAO and </w:t>
      </w:r>
      <w:r w:rsidR="00830B45" w:rsidRPr="0000309C">
        <w:rPr>
          <w:lang w:val="en-US"/>
        </w:rPr>
        <w:t>WOAH</w:t>
      </w:r>
      <w:r w:rsidRPr="0000309C">
        <w:rPr>
          <w:lang w:val="en-US"/>
        </w:rPr>
        <w:t xml:space="preserve"> to achieve the prevention and control of transboundary animal diseases (TADs) and in particular to address their regional and global dimensions. The initiative is built on experience</w:t>
      </w:r>
      <w:r w:rsidR="00AF4B4F" w:rsidRPr="0000309C">
        <w:rPr>
          <w:lang w:val="en-US"/>
        </w:rPr>
        <w:t xml:space="preserve"> </w:t>
      </w:r>
      <w:r w:rsidRPr="0000309C">
        <w:rPr>
          <w:lang w:val="en-US"/>
        </w:rPr>
        <w:t xml:space="preserve">showing that progress in controlling TADs at country level is not likely to be successful and sustainable unless the efforts are part of a coordinated regional approach </w:t>
      </w:r>
      <w:r w:rsidR="00763586">
        <w:rPr>
          <w:lang w:val="en-US"/>
        </w:rPr>
        <w:t>or</w:t>
      </w:r>
      <w:r w:rsidR="00763586" w:rsidRPr="0000309C">
        <w:rPr>
          <w:lang w:val="en-US"/>
        </w:rPr>
        <w:t xml:space="preserve"> </w:t>
      </w:r>
      <w:r w:rsidRPr="0000309C">
        <w:rPr>
          <w:lang w:val="en-US"/>
        </w:rPr>
        <w:t>embedded into supra-national frameworks.</w:t>
      </w:r>
    </w:p>
    <w:p w14:paraId="5C6A2A00" w14:textId="58386330" w:rsidR="00696486" w:rsidRPr="0000309C" w:rsidRDefault="00696486" w:rsidP="696E6AAE">
      <w:pPr>
        <w:jc w:val="both"/>
        <w:rPr>
          <w:lang w:val="en-US"/>
        </w:rPr>
      </w:pPr>
      <w:r w:rsidRPr="0000309C">
        <w:rPr>
          <w:lang w:val="en-US"/>
        </w:rPr>
        <w:t xml:space="preserve">The GF-TADs for Europe - the regional branch of the GF-TADs for the European region according to </w:t>
      </w:r>
      <w:r w:rsidR="00830B45" w:rsidRPr="0000309C">
        <w:rPr>
          <w:lang w:val="en-US"/>
        </w:rPr>
        <w:t>WOAH</w:t>
      </w:r>
      <w:r w:rsidRPr="0000309C">
        <w:rPr>
          <w:lang w:val="en-US"/>
        </w:rPr>
        <w:t xml:space="preserve"> delineation</w:t>
      </w:r>
      <w:r w:rsidR="00AF4B4F" w:rsidRPr="0000309C">
        <w:rPr>
          <w:lang w:val="en-US"/>
        </w:rPr>
        <w:t xml:space="preserve"> </w:t>
      </w:r>
      <w:r w:rsidR="00E203AF" w:rsidRPr="0000309C">
        <w:rPr>
          <w:lang w:val="en-US"/>
        </w:rPr>
        <w:t>- was</w:t>
      </w:r>
      <w:r w:rsidRPr="0000309C">
        <w:rPr>
          <w:lang w:val="en-US"/>
        </w:rPr>
        <w:t xml:space="preserve"> established in 2005 with a view to responding to increasingly frequent regional crises. It encourages the creation of regional alliances and partnerships and the definition of a common vision and subsequent action plans for the control of priority TADs in the region.</w:t>
      </w:r>
      <w:r w:rsidR="00F66C06" w:rsidRPr="00F66C06">
        <w:rPr>
          <w:lang w:val="en-US"/>
        </w:rPr>
        <w:t xml:space="preserve"> </w:t>
      </w:r>
      <w:r w:rsidR="00763586">
        <w:rPr>
          <w:lang w:val="en-US"/>
        </w:rPr>
        <w:t xml:space="preserve">The </w:t>
      </w:r>
      <w:r w:rsidR="00F66C06">
        <w:rPr>
          <w:lang w:val="en-US"/>
        </w:rPr>
        <w:t xml:space="preserve">GF-TADs </w:t>
      </w:r>
      <w:r w:rsidR="00763586">
        <w:rPr>
          <w:lang w:val="en-US"/>
        </w:rPr>
        <w:t>for Europe encompasses</w:t>
      </w:r>
      <w:r w:rsidR="00F66C06">
        <w:rPr>
          <w:lang w:val="en-US"/>
        </w:rPr>
        <w:t xml:space="preserve"> 53 European members, including </w:t>
      </w:r>
      <w:r w:rsidR="00E456DC">
        <w:rPr>
          <w:lang w:val="en-US"/>
        </w:rPr>
        <w:t>Western</w:t>
      </w:r>
      <w:r w:rsidR="00F66C06">
        <w:rPr>
          <w:lang w:val="en-US"/>
        </w:rPr>
        <w:t xml:space="preserve"> Europe, South East Europe, Eastern Europe and Central Asia.</w:t>
      </w:r>
    </w:p>
    <w:p w14:paraId="2E8177A0" w14:textId="5FA6B0AE" w:rsidR="005404E3" w:rsidRPr="0000309C" w:rsidRDefault="005404E3" w:rsidP="696E6AAE">
      <w:pPr>
        <w:jc w:val="both"/>
        <w:rPr>
          <w:lang w:val="en-US"/>
        </w:rPr>
      </w:pPr>
      <w:r w:rsidRPr="0000309C">
        <w:rPr>
          <w:lang w:val="en-US"/>
        </w:rPr>
        <w:t>Th</w:t>
      </w:r>
      <w:r w:rsidR="006E01BC" w:rsidRPr="0000309C">
        <w:rPr>
          <w:lang w:val="en-US"/>
        </w:rPr>
        <w:t xml:space="preserve">is </w:t>
      </w:r>
      <w:r w:rsidR="00CE2ED7" w:rsidRPr="0000309C">
        <w:rPr>
          <w:lang w:val="en-US"/>
        </w:rPr>
        <w:t>Second</w:t>
      </w:r>
      <w:r w:rsidRPr="0000309C">
        <w:rPr>
          <w:lang w:val="en-US"/>
        </w:rPr>
        <w:t xml:space="preserve"> </w:t>
      </w:r>
      <w:r w:rsidR="00CE2ED7" w:rsidRPr="0000309C">
        <w:rPr>
          <w:lang w:val="en-US"/>
        </w:rPr>
        <w:t>A</w:t>
      </w:r>
      <w:r w:rsidRPr="0000309C">
        <w:rPr>
          <w:lang w:val="en-US"/>
        </w:rPr>
        <w:t xml:space="preserve">ction </w:t>
      </w:r>
      <w:r w:rsidR="00CE2ED7" w:rsidRPr="0000309C">
        <w:rPr>
          <w:lang w:val="en-US"/>
        </w:rPr>
        <w:t>P</w:t>
      </w:r>
      <w:r w:rsidRPr="0000309C">
        <w:rPr>
          <w:lang w:val="en-US"/>
        </w:rPr>
        <w:t>lan</w:t>
      </w:r>
      <w:r w:rsidR="00CE2ED7" w:rsidRPr="0000309C">
        <w:rPr>
          <w:lang w:val="en-US"/>
        </w:rPr>
        <w:t xml:space="preserve"> of the GF</w:t>
      </w:r>
      <w:r w:rsidR="001A52F5">
        <w:rPr>
          <w:lang w:val="en-US"/>
        </w:rPr>
        <w:t>-</w:t>
      </w:r>
      <w:r w:rsidR="00CE2ED7" w:rsidRPr="0000309C">
        <w:rPr>
          <w:lang w:val="en-US"/>
        </w:rPr>
        <w:t>TADs for Europe</w:t>
      </w:r>
      <w:r w:rsidRPr="0000309C">
        <w:rPr>
          <w:lang w:val="en-US"/>
        </w:rPr>
        <w:t xml:space="preserve"> was developed </w:t>
      </w:r>
      <w:r w:rsidR="00763586">
        <w:rPr>
          <w:lang w:val="en-US"/>
        </w:rPr>
        <w:t>building on</w:t>
      </w:r>
      <w:r w:rsidR="00763586" w:rsidRPr="0000309C">
        <w:rPr>
          <w:lang w:val="en-US"/>
        </w:rPr>
        <w:t xml:space="preserve"> </w:t>
      </w:r>
      <w:r w:rsidRPr="0000309C">
        <w:rPr>
          <w:lang w:val="en-US"/>
        </w:rPr>
        <w:t xml:space="preserve">the work previously done on the </w:t>
      </w:r>
      <w:r w:rsidR="009F0DE6" w:rsidRPr="0000309C">
        <w:rPr>
          <w:lang w:val="en-US"/>
        </w:rPr>
        <w:t xml:space="preserve">first </w:t>
      </w:r>
      <w:r w:rsidR="005F2726">
        <w:rPr>
          <w:lang w:val="en-US"/>
        </w:rPr>
        <w:t>A</w:t>
      </w:r>
      <w:r w:rsidR="009F0DE6" w:rsidRPr="0000309C">
        <w:rPr>
          <w:lang w:val="en-US"/>
        </w:rPr>
        <w:t xml:space="preserve">ction </w:t>
      </w:r>
      <w:r w:rsidR="005F2726">
        <w:rPr>
          <w:lang w:val="en-US"/>
        </w:rPr>
        <w:t>P</w:t>
      </w:r>
      <w:r w:rsidR="009F0DE6" w:rsidRPr="0000309C">
        <w:rPr>
          <w:lang w:val="en-US"/>
        </w:rPr>
        <w:t xml:space="preserve">lan </w:t>
      </w:r>
      <w:r w:rsidR="00DD6F58" w:rsidRPr="0000309C">
        <w:rPr>
          <w:lang w:val="en-US"/>
        </w:rPr>
        <w:t xml:space="preserve">approved during </w:t>
      </w:r>
      <w:r w:rsidR="001A52F5">
        <w:rPr>
          <w:lang w:val="en-US"/>
        </w:rPr>
        <w:t>the 5</w:t>
      </w:r>
      <w:r w:rsidR="001A52F5" w:rsidRPr="000043DE">
        <w:rPr>
          <w:vertAlign w:val="superscript"/>
          <w:lang w:val="en-US"/>
        </w:rPr>
        <w:t>th</w:t>
      </w:r>
      <w:r w:rsidR="001A52F5">
        <w:rPr>
          <w:lang w:val="en-US"/>
        </w:rPr>
        <w:t xml:space="preserve"> Regional Steering Committee (</w:t>
      </w:r>
      <w:r w:rsidR="00DD6F58" w:rsidRPr="0000309C">
        <w:rPr>
          <w:lang w:val="en-US"/>
        </w:rPr>
        <w:t>RSC</w:t>
      </w:r>
      <w:r w:rsidR="001A52F5">
        <w:rPr>
          <w:lang w:val="en-US"/>
        </w:rPr>
        <w:t>)</w:t>
      </w:r>
      <w:r w:rsidR="00DD6F58" w:rsidRPr="0000309C">
        <w:rPr>
          <w:lang w:val="en-US"/>
        </w:rPr>
        <w:t xml:space="preserve"> </w:t>
      </w:r>
      <w:r w:rsidR="001A52F5">
        <w:rPr>
          <w:lang w:val="en-US"/>
        </w:rPr>
        <w:t>meeting</w:t>
      </w:r>
      <w:r w:rsidR="00DD6F58" w:rsidRPr="0000309C">
        <w:rPr>
          <w:lang w:val="en-US"/>
        </w:rPr>
        <w:t xml:space="preserve"> in </w:t>
      </w:r>
      <w:r w:rsidR="00254CA6" w:rsidRPr="0000309C">
        <w:rPr>
          <w:lang w:val="en-US"/>
        </w:rPr>
        <w:t>2013 and</w:t>
      </w:r>
      <w:r w:rsidR="000C67C0" w:rsidRPr="0000309C">
        <w:rPr>
          <w:lang w:val="en-US"/>
        </w:rPr>
        <w:t xml:space="preserve"> is based on the structure laid out in the </w:t>
      </w:r>
      <w:r w:rsidR="001E0E56" w:rsidRPr="0000309C">
        <w:rPr>
          <w:lang w:val="en-US"/>
        </w:rPr>
        <w:t>global GF</w:t>
      </w:r>
      <w:r w:rsidR="001A52F5">
        <w:rPr>
          <w:lang w:val="en-US"/>
        </w:rPr>
        <w:t>-</w:t>
      </w:r>
      <w:r w:rsidR="001E0E56" w:rsidRPr="0000309C">
        <w:rPr>
          <w:lang w:val="en-US"/>
        </w:rPr>
        <w:t xml:space="preserve">TADs Strategy for 2021-2025 </w:t>
      </w:r>
      <w:r w:rsidR="00A05DD2" w:rsidRPr="0000309C">
        <w:rPr>
          <w:lang w:val="en-US"/>
        </w:rPr>
        <w:t>published in 2021.</w:t>
      </w:r>
    </w:p>
    <w:p w14:paraId="147439AD" w14:textId="3D0DE0E8" w:rsidR="00254CA6" w:rsidRPr="0000309C" w:rsidRDefault="00A05DD2" w:rsidP="696E6AAE">
      <w:pPr>
        <w:jc w:val="both"/>
        <w:rPr>
          <w:lang w:val="en-US"/>
        </w:rPr>
      </w:pPr>
      <w:r w:rsidRPr="0000309C">
        <w:rPr>
          <w:lang w:val="en-US"/>
        </w:rPr>
        <w:t xml:space="preserve">This </w:t>
      </w:r>
      <w:r w:rsidR="001F75B1">
        <w:rPr>
          <w:lang w:val="en-US"/>
        </w:rPr>
        <w:t>A</w:t>
      </w:r>
      <w:r w:rsidRPr="0000309C">
        <w:rPr>
          <w:lang w:val="en-US"/>
        </w:rPr>
        <w:t xml:space="preserve">ction </w:t>
      </w:r>
      <w:r w:rsidR="001F75B1">
        <w:rPr>
          <w:lang w:val="en-US"/>
        </w:rPr>
        <w:t>P</w:t>
      </w:r>
      <w:r w:rsidRPr="0000309C">
        <w:rPr>
          <w:lang w:val="en-US"/>
        </w:rPr>
        <w:t xml:space="preserve">lan was first presented </w:t>
      </w:r>
      <w:r w:rsidR="00E26B80" w:rsidRPr="0000309C">
        <w:rPr>
          <w:lang w:val="en-US"/>
        </w:rPr>
        <w:t>to members of the RSC by an email consultation before the 10th RSC in October 2022</w:t>
      </w:r>
      <w:r w:rsidR="003B34D9" w:rsidRPr="0000309C">
        <w:rPr>
          <w:lang w:val="en-US"/>
        </w:rPr>
        <w:t>, adopted after an e-consultation procedure and then officially endorsed</w:t>
      </w:r>
      <w:r w:rsidR="001A52F5">
        <w:rPr>
          <w:lang w:val="en-US"/>
        </w:rPr>
        <w:t xml:space="preserve"> by the RSC</w:t>
      </w:r>
      <w:r w:rsidR="00763586">
        <w:rPr>
          <w:lang w:val="en-US"/>
        </w:rPr>
        <w:t xml:space="preserve"> in an electronic procedure</w:t>
      </w:r>
      <w:r w:rsidR="003B34D9" w:rsidRPr="0000309C">
        <w:rPr>
          <w:lang w:val="en-US"/>
        </w:rPr>
        <w:t xml:space="preserve">. </w:t>
      </w:r>
      <w:r w:rsidR="00696486" w:rsidRPr="0000309C">
        <w:rPr>
          <w:lang w:val="en-US"/>
        </w:rPr>
        <w:t xml:space="preserve"> </w:t>
      </w:r>
    </w:p>
    <w:p w14:paraId="53AC30B1" w14:textId="1479648C" w:rsidR="00696486" w:rsidRPr="0000309C" w:rsidRDefault="00696486" w:rsidP="696E6AAE">
      <w:pPr>
        <w:jc w:val="both"/>
        <w:rPr>
          <w:lang w:val="en-US"/>
        </w:rPr>
      </w:pPr>
      <w:r w:rsidRPr="0000309C">
        <w:rPr>
          <w:lang w:val="en-US"/>
        </w:rPr>
        <w:t xml:space="preserve">This document </w:t>
      </w:r>
      <w:proofErr w:type="gramStart"/>
      <w:r w:rsidR="00763586">
        <w:rPr>
          <w:lang w:val="en-US"/>
        </w:rPr>
        <w:t>de</w:t>
      </w:r>
      <w:r w:rsidR="001A52F5">
        <w:rPr>
          <w:lang w:val="en-US"/>
        </w:rPr>
        <w:t>s</w:t>
      </w:r>
      <w:r w:rsidR="00763586">
        <w:rPr>
          <w:lang w:val="en-US"/>
        </w:rPr>
        <w:t>cribes</w:t>
      </w:r>
      <w:r w:rsidRPr="0000309C">
        <w:rPr>
          <w:strike/>
          <w:lang w:val="en-US"/>
        </w:rPr>
        <w:t>,</w:t>
      </w:r>
      <w:proofErr w:type="gramEnd"/>
      <w:r w:rsidRPr="0000309C">
        <w:rPr>
          <w:lang w:val="en-US"/>
        </w:rPr>
        <w:t xml:space="preserve"> the objectives and the implementation mechanisms of the GF-TADs for Europe Action Plan covering the period 202</w:t>
      </w:r>
      <w:r w:rsidR="00651BF9" w:rsidRPr="0000309C">
        <w:rPr>
          <w:lang w:val="en-US"/>
        </w:rPr>
        <w:t>3</w:t>
      </w:r>
      <w:r w:rsidRPr="0000309C">
        <w:rPr>
          <w:lang w:val="en-US"/>
        </w:rPr>
        <w:t xml:space="preserve"> – 202</w:t>
      </w:r>
      <w:r w:rsidR="00651BF9" w:rsidRPr="0000309C">
        <w:rPr>
          <w:lang w:val="en-US"/>
        </w:rPr>
        <w:t>7</w:t>
      </w:r>
      <w:r w:rsidRPr="0000309C">
        <w:rPr>
          <w:lang w:val="en-US"/>
        </w:rPr>
        <w:t xml:space="preserve">. The Priority Diseases presented in </w:t>
      </w:r>
      <w:r w:rsidR="001F75B1" w:rsidRPr="0000309C">
        <w:rPr>
          <w:lang w:val="en-US"/>
        </w:rPr>
        <w:t>th</w:t>
      </w:r>
      <w:r w:rsidR="001F75B1">
        <w:rPr>
          <w:lang w:val="en-US"/>
        </w:rPr>
        <w:t xml:space="preserve">is regional </w:t>
      </w:r>
      <w:r w:rsidR="001A52F5">
        <w:rPr>
          <w:lang w:val="en-US"/>
        </w:rPr>
        <w:t>Action Plan</w:t>
      </w:r>
      <w:r w:rsidR="001A52F5" w:rsidRPr="0000309C">
        <w:rPr>
          <w:lang w:val="en-US"/>
        </w:rPr>
        <w:t xml:space="preserve"> </w:t>
      </w:r>
      <w:r w:rsidR="001A52F5">
        <w:rPr>
          <w:lang w:val="en-US"/>
        </w:rPr>
        <w:t>take account of</w:t>
      </w:r>
      <w:r w:rsidR="001A52F5" w:rsidRPr="0000309C">
        <w:rPr>
          <w:lang w:val="en-US"/>
        </w:rPr>
        <w:t xml:space="preserve"> </w:t>
      </w:r>
      <w:r w:rsidRPr="0000309C">
        <w:rPr>
          <w:lang w:val="en-US"/>
        </w:rPr>
        <w:t xml:space="preserve">the global ones as </w:t>
      </w:r>
      <w:r w:rsidR="001A52F5">
        <w:rPr>
          <w:lang w:val="en-US"/>
        </w:rPr>
        <w:t>agreed</w:t>
      </w:r>
      <w:r w:rsidRPr="0000309C">
        <w:rPr>
          <w:lang w:val="en-US"/>
        </w:rPr>
        <w:t xml:space="preserve"> by the Global </w:t>
      </w:r>
      <w:r w:rsidR="001A52F5">
        <w:rPr>
          <w:lang w:val="en-US"/>
        </w:rPr>
        <w:t xml:space="preserve">Steering Committee of </w:t>
      </w:r>
      <w:r w:rsidRPr="0000309C">
        <w:rPr>
          <w:lang w:val="en-US"/>
        </w:rPr>
        <w:t>GF-TADs and therefore, quoting the work done at global level, this is a living document and it should be noted that new or rising concerns, such as the emergence or re-emergence of a</w:t>
      </w:r>
      <w:r w:rsidR="001A52F5">
        <w:rPr>
          <w:lang w:val="en-US"/>
        </w:rPr>
        <w:t xml:space="preserve"> transboundary</w:t>
      </w:r>
      <w:r w:rsidRPr="0000309C">
        <w:rPr>
          <w:lang w:val="en-US"/>
        </w:rPr>
        <w:t xml:space="preserve"> animal disease that may </w:t>
      </w:r>
      <w:r w:rsidR="001A52F5">
        <w:rPr>
          <w:lang w:val="en-US"/>
        </w:rPr>
        <w:t>occur</w:t>
      </w:r>
      <w:r w:rsidR="001A52F5" w:rsidRPr="0000309C">
        <w:rPr>
          <w:lang w:val="en-US"/>
        </w:rPr>
        <w:t xml:space="preserve"> </w:t>
      </w:r>
      <w:r w:rsidRPr="0000309C">
        <w:rPr>
          <w:lang w:val="en-US"/>
        </w:rPr>
        <w:t xml:space="preserve">at regional level, will be </w:t>
      </w:r>
      <w:r w:rsidR="00763586">
        <w:rPr>
          <w:lang w:val="en-US"/>
        </w:rPr>
        <w:t xml:space="preserve">considered for </w:t>
      </w:r>
      <w:r w:rsidRPr="0000309C">
        <w:rPr>
          <w:lang w:val="en-US"/>
        </w:rPr>
        <w:t>incorporat</w:t>
      </w:r>
      <w:r w:rsidR="00763586">
        <w:rPr>
          <w:lang w:val="en-US"/>
        </w:rPr>
        <w:t>ion</w:t>
      </w:r>
      <w:r w:rsidR="001A52F5">
        <w:rPr>
          <w:lang w:val="en-US"/>
        </w:rPr>
        <w:t xml:space="preserve"> during the implementation period</w:t>
      </w:r>
      <w:r w:rsidRPr="0000309C">
        <w:rPr>
          <w:lang w:val="en-US"/>
        </w:rPr>
        <w:t xml:space="preserve">. </w:t>
      </w:r>
    </w:p>
    <w:p w14:paraId="0106E8BA" w14:textId="77777777" w:rsidR="00594241" w:rsidRPr="0000309C" w:rsidRDefault="00594241" w:rsidP="003E24F7">
      <w:pPr>
        <w:pStyle w:val="Heading1"/>
        <w:numPr>
          <w:ilvl w:val="0"/>
          <w:numId w:val="3"/>
        </w:numPr>
        <w:rPr>
          <w:lang w:val="en-US"/>
        </w:rPr>
      </w:pPr>
      <w:r w:rsidRPr="0000309C">
        <w:rPr>
          <w:lang w:val="en-US"/>
        </w:rPr>
        <w:t>Scope and framework</w:t>
      </w:r>
    </w:p>
    <w:p w14:paraId="71F13007" w14:textId="3FD9FEB8" w:rsidR="00594241" w:rsidRPr="0000309C" w:rsidRDefault="0063322A" w:rsidP="003E24F7">
      <w:pPr>
        <w:pStyle w:val="Heading2"/>
        <w:numPr>
          <w:ilvl w:val="1"/>
          <w:numId w:val="3"/>
        </w:numPr>
        <w:rPr>
          <w:lang w:val="en-US"/>
        </w:rPr>
      </w:pPr>
      <w:r w:rsidRPr="0000309C">
        <w:rPr>
          <w:lang w:val="en-US"/>
        </w:rPr>
        <w:t>TADs prioritization facilitated / coordinated</w:t>
      </w:r>
    </w:p>
    <w:p w14:paraId="2C940991" w14:textId="77777777" w:rsidR="00166DAA" w:rsidRPr="0000309C" w:rsidRDefault="00166DAA" w:rsidP="007A46C1">
      <w:pPr>
        <w:rPr>
          <w:lang w:val="en-US"/>
        </w:rPr>
      </w:pPr>
    </w:p>
    <w:p w14:paraId="6792A247" w14:textId="101310E0" w:rsidR="007A46C1" w:rsidRPr="0000309C" w:rsidRDefault="007A46C1" w:rsidP="696E6AAE">
      <w:pPr>
        <w:jc w:val="both"/>
        <w:rPr>
          <w:lang w:val="en-US"/>
        </w:rPr>
      </w:pPr>
      <w:r w:rsidRPr="0000309C">
        <w:rPr>
          <w:lang w:val="en-US"/>
        </w:rPr>
        <w:t xml:space="preserve">The Action Plan addresses the </w:t>
      </w:r>
      <w:r w:rsidR="00F66C06">
        <w:rPr>
          <w:lang w:val="en-US"/>
        </w:rPr>
        <w:t xml:space="preserve">transboundary </w:t>
      </w:r>
      <w:r w:rsidRPr="0000309C">
        <w:rPr>
          <w:lang w:val="en-US"/>
        </w:rPr>
        <w:t>animal diseases that have qualified as ‘priority’ for the region, namely:</w:t>
      </w:r>
    </w:p>
    <w:p w14:paraId="65DEDB02" w14:textId="287B13AC" w:rsidR="007A46C1" w:rsidRPr="0000309C" w:rsidRDefault="007A46C1" w:rsidP="696E6AAE">
      <w:pPr>
        <w:pStyle w:val="ListParagraph"/>
        <w:numPr>
          <w:ilvl w:val="0"/>
          <w:numId w:val="6"/>
        </w:numPr>
        <w:jc w:val="both"/>
        <w:rPr>
          <w:lang w:val="en-US"/>
        </w:rPr>
      </w:pPr>
      <w:r w:rsidRPr="0000309C">
        <w:rPr>
          <w:lang w:val="en-US"/>
        </w:rPr>
        <w:t>African Swine Fever (ASF)</w:t>
      </w:r>
    </w:p>
    <w:p w14:paraId="3184B75D" w14:textId="53FD8E71" w:rsidR="007A46C1" w:rsidRPr="0000309C" w:rsidRDefault="007A46C1" w:rsidP="696E6AAE">
      <w:pPr>
        <w:pStyle w:val="ListParagraph"/>
        <w:numPr>
          <w:ilvl w:val="0"/>
          <w:numId w:val="6"/>
        </w:numPr>
        <w:jc w:val="both"/>
        <w:rPr>
          <w:lang w:val="en-US"/>
        </w:rPr>
      </w:pPr>
      <w:r w:rsidRPr="0000309C">
        <w:rPr>
          <w:lang w:val="en-US"/>
        </w:rPr>
        <w:t>Lumpy Skin Disease (LSD)</w:t>
      </w:r>
    </w:p>
    <w:p w14:paraId="4B7B4A3E" w14:textId="3B6C028A" w:rsidR="007A46C1" w:rsidRPr="0000309C" w:rsidRDefault="007A46C1" w:rsidP="696E6AAE">
      <w:pPr>
        <w:pStyle w:val="ListParagraph"/>
        <w:numPr>
          <w:ilvl w:val="0"/>
          <w:numId w:val="6"/>
        </w:numPr>
        <w:jc w:val="both"/>
        <w:rPr>
          <w:lang w:val="en-US"/>
        </w:rPr>
      </w:pPr>
      <w:r w:rsidRPr="0000309C">
        <w:rPr>
          <w:lang w:val="en-US"/>
        </w:rPr>
        <w:t>Rabies</w:t>
      </w:r>
    </w:p>
    <w:p w14:paraId="53DC1619" w14:textId="0E59C7B0" w:rsidR="007A46C1" w:rsidRPr="0000309C" w:rsidRDefault="007A46C1" w:rsidP="696E6AAE">
      <w:pPr>
        <w:pStyle w:val="ListParagraph"/>
        <w:numPr>
          <w:ilvl w:val="0"/>
          <w:numId w:val="6"/>
        </w:numPr>
        <w:jc w:val="both"/>
        <w:rPr>
          <w:lang w:val="en-US"/>
        </w:rPr>
      </w:pPr>
      <w:r w:rsidRPr="0000309C">
        <w:rPr>
          <w:lang w:val="en-US"/>
        </w:rPr>
        <w:t>Foot and Mouth Disease (FMD)</w:t>
      </w:r>
    </w:p>
    <w:p w14:paraId="3D48944D" w14:textId="3903C1DE" w:rsidR="007A46C1" w:rsidRPr="0000309C" w:rsidRDefault="007A46C1" w:rsidP="696E6AAE">
      <w:pPr>
        <w:pStyle w:val="ListParagraph"/>
        <w:numPr>
          <w:ilvl w:val="0"/>
          <w:numId w:val="6"/>
        </w:numPr>
        <w:jc w:val="both"/>
        <w:rPr>
          <w:lang w:val="en-US"/>
        </w:rPr>
      </w:pPr>
      <w:r w:rsidRPr="36C17C6A">
        <w:rPr>
          <w:lang w:val="en-US"/>
        </w:rPr>
        <w:t>Highly Pathogenic Avian Influenza (HPAI)</w:t>
      </w:r>
    </w:p>
    <w:p w14:paraId="237140D8" w14:textId="00CE77E5" w:rsidR="3C544011" w:rsidRPr="00CF7E00" w:rsidRDefault="3C544011" w:rsidP="5E85794F">
      <w:pPr>
        <w:pStyle w:val="ListParagraph"/>
        <w:numPr>
          <w:ilvl w:val="0"/>
          <w:numId w:val="6"/>
        </w:numPr>
        <w:jc w:val="both"/>
      </w:pPr>
      <w:r w:rsidRPr="00CF7E00">
        <w:t xml:space="preserve">Peste des Petits Ruminants (PPR) </w:t>
      </w:r>
    </w:p>
    <w:p w14:paraId="2D733647" w14:textId="2283A55C" w:rsidR="00C740AD" w:rsidRPr="0000309C" w:rsidRDefault="006A56BE" w:rsidP="696E6AAE">
      <w:pPr>
        <w:jc w:val="both"/>
        <w:rPr>
          <w:lang w:val="en-US"/>
        </w:rPr>
      </w:pPr>
      <w:r w:rsidRPr="0000309C">
        <w:rPr>
          <w:lang w:val="en-US"/>
        </w:rPr>
        <w:t xml:space="preserve">Taking from the </w:t>
      </w:r>
      <w:r w:rsidR="001F75B1">
        <w:rPr>
          <w:lang w:val="en-US"/>
        </w:rPr>
        <w:t>eight</w:t>
      </w:r>
      <w:r w:rsidR="001F75B1" w:rsidRPr="0000309C">
        <w:rPr>
          <w:lang w:val="en-US"/>
        </w:rPr>
        <w:t xml:space="preserve"> </w:t>
      </w:r>
      <w:r w:rsidRPr="0000309C">
        <w:rPr>
          <w:lang w:val="en-US"/>
        </w:rPr>
        <w:t>diseases agreed as priorit</w:t>
      </w:r>
      <w:r w:rsidR="005C2DB7">
        <w:rPr>
          <w:lang w:val="en-US"/>
        </w:rPr>
        <w:t>y disease</w:t>
      </w:r>
      <w:r w:rsidRPr="0000309C">
        <w:rPr>
          <w:lang w:val="en-US"/>
        </w:rPr>
        <w:t>s during the RSC 6 in 2016</w:t>
      </w:r>
      <w:r w:rsidR="00F66C06">
        <w:rPr>
          <w:lang w:val="en-US"/>
        </w:rPr>
        <w:t>,</w:t>
      </w:r>
      <w:r w:rsidR="00F66C06" w:rsidRPr="0000309C">
        <w:rPr>
          <w:lang w:val="en-US"/>
        </w:rPr>
        <w:t xml:space="preserve"> </w:t>
      </w:r>
      <w:r w:rsidRPr="0000309C">
        <w:rPr>
          <w:lang w:val="en-US"/>
        </w:rPr>
        <w:t xml:space="preserve">the </w:t>
      </w:r>
      <w:r w:rsidR="00523AC1">
        <w:rPr>
          <w:lang w:val="en-US"/>
        </w:rPr>
        <w:t>six listed</w:t>
      </w:r>
      <w:r w:rsidRPr="0000309C">
        <w:rPr>
          <w:lang w:val="en-US"/>
        </w:rPr>
        <w:t xml:space="preserve"> above </w:t>
      </w:r>
      <w:proofErr w:type="gramStart"/>
      <w:r w:rsidRPr="0000309C">
        <w:rPr>
          <w:lang w:val="en-US"/>
        </w:rPr>
        <w:t xml:space="preserve">are considered to </w:t>
      </w:r>
      <w:r w:rsidR="003E3C54" w:rsidRPr="0000309C">
        <w:rPr>
          <w:lang w:val="en-US"/>
        </w:rPr>
        <w:t>be</w:t>
      </w:r>
      <w:proofErr w:type="gramEnd"/>
      <w:r w:rsidR="003E3C54" w:rsidRPr="0000309C">
        <w:rPr>
          <w:lang w:val="en-US"/>
        </w:rPr>
        <w:t xml:space="preserve"> the</w:t>
      </w:r>
      <w:r w:rsidR="005C2DB7">
        <w:rPr>
          <w:lang w:val="en-US"/>
        </w:rPr>
        <w:t xml:space="preserve"> current</w:t>
      </w:r>
      <w:r w:rsidR="003E3C54" w:rsidRPr="0000309C">
        <w:rPr>
          <w:lang w:val="en-US"/>
        </w:rPr>
        <w:t xml:space="preserve"> main priorities in </w:t>
      </w:r>
      <w:r w:rsidR="00763586">
        <w:rPr>
          <w:lang w:val="en-US"/>
        </w:rPr>
        <w:t>Europe</w:t>
      </w:r>
      <w:r w:rsidR="001F75B1">
        <w:rPr>
          <w:lang w:val="en-US"/>
        </w:rPr>
        <w:t xml:space="preserve"> for the regional Action Plan covering the period 2023 - 2027</w:t>
      </w:r>
      <w:r w:rsidR="003E3C54" w:rsidRPr="0000309C">
        <w:rPr>
          <w:lang w:val="en-US"/>
        </w:rPr>
        <w:t>.</w:t>
      </w:r>
      <w:r w:rsidR="00912B8A" w:rsidRPr="0000309C">
        <w:rPr>
          <w:lang w:val="en-US"/>
        </w:rPr>
        <w:t xml:space="preserve"> T</w:t>
      </w:r>
      <w:r w:rsidR="007A46C1" w:rsidRPr="0000309C">
        <w:rPr>
          <w:lang w:val="en-US"/>
        </w:rPr>
        <w:t>hey also in general match the current global list of priority diseases</w:t>
      </w:r>
      <w:r w:rsidR="00F66C06">
        <w:rPr>
          <w:rStyle w:val="FootnoteReference"/>
          <w:lang w:val="en-US"/>
        </w:rPr>
        <w:footnoteReference w:id="2"/>
      </w:r>
      <w:r w:rsidR="007A46C1" w:rsidRPr="0000309C">
        <w:rPr>
          <w:lang w:val="en-US"/>
        </w:rPr>
        <w:t xml:space="preserve">. </w:t>
      </w:r>
    </w:p>
    <w:p w14:paraId="72C09EDF" w14:textId="09642EDB" w:rsidR="00C740AD" w:rsidRPr="000870C2" w:rsidRDefault="00C740AD" w:rsidP="36C17C6A">
      <w:pPr>
        <w:pStyle w:val="pf0"/>
        <w:jc w:val="both"/>
        <w:rPr>
          <w:rFonts w:asciiTheme="minorHAnsi" w:hAnsiTheme="minorHAnsi" w:cstheme="minorBidi"/>
          <w:sz w:val="22"/>
          <w:szCs w:val="22"/>
          <w:lang w:val="en-US"/>
        </w:rPr>
      </w:pPr>
      <w:r w:rsidRPr="399F684E">
        <w:rPr>
          <w:rFonts w:asciiTheme="minorHAnsi" w:hAnsiTheme="minorHAnsi" w:cstheme="minorBidi"/>
          <w:sz w:val="22"/>
          <w:szCs w:val="22"/>
          <w:lang w:val="en-US"/>
        </w:rPr>
        <w:t>The main effort</w:t>
      </w:r>
      <w:r w:rsidR="00F66C06" w:rsidRPr="399F684E">
        <w:rPr>
          <w:rFonts w:asciiTheme="minorHAnsi" w:hAnsiTheme="minorHAnsi" w:cstheme="minorBidi"/>
          <w:sz w:val="22"/>
          <w:szCs w:val="22"/>
          <w:lang w:val="en-US"/>
        </w:rPr>
        <w:t>s</w:t>
      </w:r>
      <w:r w:rsidRPr="399F684E">
        <w:rPr>
          <w:rFonts w:asciiTheme="minorHAnsi" w:hAnsiTheme="minorHAnsi" w:cstheme="minorBidi"/>
          <w:sz w:val="22"/>
          <w:szCs w:val="22"/>
          <w:lang w:val="en-US"/>
        </w:rPr>
        <w:t xml:space="preserve"> against Classical Swine </w:t>
      </w:r>
      <w:r w:rsidR="00247858" w:rsidRPr="399F684E">
        <w:rPr>
          <w:rFonts w:asciiTheme="minorHAnsi" w:hAnsiTheme="minorHAnsi" w:cstheme="minorBidi"/>
          <w:sz w:val="22"/>
          <w:szCs w:val="22"/>
          <w:lang w:val="en-US"/>
        </w:rPr>
        <w:t>F</w:t>
      </w:r>
      <w:r w:rsidRPr="399F684E">
        <w:rPr>
          <w:rFonts w:asciiTheme="minorHAnsi" w:hAnsiTheme="minorHAnsi" w:cstheme="minorBidi"/>
          <w:sz w:val="22"/>
          <w:szCs w:val="22"/>
          <w:lang w:val="en-US"/>
        </w:rPr>
        <w:t>ever</w:t>
      </w:r>
      <w:r w:rsidR="00247858" w:rsidRPr="399F684E">
        <w:rPr>
          <w:rFonts w:asciiTheme="minorHAnsi" w:hAnsiTheme="minorHAnsi" w:cstheme="minorBidi"/>
          <w:sz w:val="22"/>
          <w:szCs w:val="22"/>
          <w:lang w:val="en-US"/>
        </w:rPr>
        <w:t xml:space="preserve"> (CSF)</w:t>
      </w:r>
      <w:r w:rsidRPr="399F684E">
        <w:rPr>
          <w:rFonts w:asciiTheme="minorHAnsi" w:hAnsiTheme="minorHAnsi" w:cstheme="minorBidi"/>
          <w:sz w:val="22"/>
          <w:szCs w:val="22"/>
          <w:lang w:val="en-US"/>
        </w:rPr>
        <w:t xml:space="preserve"> </w:t>
      </w:r>
      <w:r w:rsidR="00D30EC0" w:rsidRPr="399F684E">
        <w:rPr>
          <w:rFonts w:asciiTheme="minorHAnsi" w:hAnsiTheme="minorHAnsi" w:cstheme="minorBidi"/>
          <w:sz w:val="22"/>
          <w:szCs w:val="22"/>
          <w:lang w:val="en-US"/>
        </w:rPr>
        <w:t xml:space="preserve">over the past two decades </w:t>
      </w:r>
      <w:r w:rsidRPr="399F684E">
        <w:rPr>
          <w:rFonts w:asciiTheme="minorHAnsi" w:hAnsiTheme="minorHAnsi" w:cstheme="minorBidi"/>
          <w:sz w:val="22"/>
          <w:szCs w:val="22"/>
          <w:lang w:val="en-US"/>
        </w:rPr>
        <w:t>ha</w:t>
      </w:r>
      <w:r w:rsidR="00F66C06" w:rsidRPr="399F684E">
        <w:rPr>
          <w:rFonts w:asciiTheme="minorHAnsi" w:hAnsiTheme="minorHAnsi" w:cstheme="minorBidi"/>
          <w:sz w:val="22"/>
          <w:szCs w:val="22"/>
          <w:lang w:val="en-US"/>
        </w:rPr>
        <w:t>ve</w:t>
      </w:r>
      <w:r w:rsidRPr="399F684E">
        <w:rPr>
          <w:rFonts w:asciiTheme="minorHAnsi" w:hAnsiTheme="minorHAnsi" w:cstheme="minorBidi"/>
          <w:sz w:val="22"/>
          <w:szCs w:val="22"/>
          <w:lang w:val="en-US"/>
        </w:rPr>
        <w:t xml:space="preserve"> allowed </w:t>
      </w:r>
      <w:r w:rsidR="00247858" w:rsidRPr="399F684E">
        <w:rPr>
          <w:rFonts w:asciiTheme="minorHAnsi" w:hAnsiTheme="minorHAnsi" w:cstheme="minorBidi"/>
          <w:sz w:val="22"/>
          <w:szCs w:val="22"/>
          <w:lang w:val="en-US"/>
        </w:rPr>
        <w:t xml:space="preserve">countries to benefit from a </w:t>
      </w:r>
      <w:r w:rsidR="00D30EC0" w:rsidRPr="399F684E">
        <w:rPr>
          <w:rFonts w:asciiTheme="minorHAnsi" w:hAnsiTheme="minorHAnsi" w:cstheme="minorBidi"/>
          <w:sz w:val="22"/>
          <w:szCs w:val="22"/>
          <w:lang w:val="en-US"/>
        </w:rPr>
        <w:t>much-improved</w:t>
      </w:r>
      <w:r w:rsidR="00247858" w:rsidRPr="399F684E">
        <w:rPr>
          <w:rFonts w:asciiTheme="minorHAnsi" w:hAnsiTheme="minorHAnsi" w:cstheme="minorBidi"/>
          <w:sz w:val="22"/>
          <w:szCs w:val="22"/>
          <w:lang w:val="en-US"/>
        </w:rPr>
        <w:t xml:space="preserve"> situation, and it is </w:t>
      </w:r>
      <w:r w:rsidR="00F66C06" w:rsidRPr="399F684E">
        <w:rPr>
          <w:rFonts w:asciiTheme="minorHAnsi" w:hAnsiTheme="minorHAnsi" w:cstheme="minorBidi"/>
          <w:sz w:val="22"/>
          <w:szCs w:val="22"/>
          <w:lang w:val="en-US"/>
        </w:rPr>
        <w:t xml:space="preserve">therefore </w:t>
      </w:r>
      <w:r w:rsidR="00247858" w:rsidRPr="399F684E">
        <w:rPr>
          <w:rFonts w:asciiTheme="minorHAnsi" w:hAnsiTheme="minorHAnsi" w:cstheme="minorBidi"/>
          <w:sz w:val="22"/>
          <w:szCs w:val="22"/>
          <w:lang w:val="en-US"/>
        </w:rPr>
        <w:t xml:space="preserve">suggested </w:t>
      </w:r>
      <w:r w:rsidR="00763586" w:rsidRPr="399F684E">
        <w:rPr>
          <w:rFonts w:asciiTheme="minorHAnsi" w:hAnsiTheme="minorHAnsi" w:cstheme="minorBidi"/>
          <w:sz w:val="22"/>
          <w:szCs w:val="22"/>
          <w:lang w:val="en-US"/>
        </w:rPr>
        <w:t xml:space="preserve">at this stage </w:t>
      </w:r>
      <w:r w:rsidR="00247858" w:rsidRPr="399F684E">
        <w:rPr>
          <w:rFonts w:asciiTheme="minorHAnsi" w:hAnsiTheme="minorHAnsi" w:cstheme="minorBidi"/>
          <w:sz w:val="22"/>
          <w:szCs w:val="22"/>
          <w:lang w:val="en-US"/>
        </w:rPr>
        <w:t xml:space="preserve">to </w:t>
      </w:r>
      <w:r w:rsidR="001F75B1" w:rsidRPr="399F684E">
        <w:rPr>
          <w:rFonts w:asciiTheme="minorHAnsi" w:hAnsiTheme="minorHAnsi" w:cstheme="minorBidi"/>
          <w:sz w:val="22"/>
          <w:szCs w:val="22"/>
          <w:lang w:val="en-US"/>
        </w:rPr>
        <w:t xml:space="preserve">withdraw </w:t>
      </w:r>
      <w:r w:rsidR="00247858" w:rsidRPr="399F684E">
        <w:rPr>
          <w:rFonts w:asciiTheme="minorHAnsi" w:hAnsiTheme="minorHAnsi" w:cstheme="minorBidi"/>
          <w:sz w:val="22"/>
          <w:szCs w:val="22"/>
          <w:lang w:val="en-US"/>
        </w:rPr>
        <w:t>CSF</w:t>
      </w:r>
      <w:r w:rsidR="006B0FB3" w:rsidRPr="399F684E">
        <w:rPr>
          <w:rFonts w:asciiTheme="minorHAnsi" w:hAnsiTheme="minorHAnsi" w:cstheme="minorBidi"/>
          <w:sz w:val="22"/>
          <w:szCs w:val="22"/>
          <w:lang w:val="en-US"/>
        </w:rPr>
        <w:t xml:space="preserve"> </w:t>
      </w:r>
      <w:r w:rsidR="001F75B1" w:rsidRPr="399F684E">
        <w:rPr>
          <w:rFonts w:asciiTheme="minorHAnsi" w:hAnsiTheme="minorHAnsi" w:cstheme="minorBidi"/>
          <w:sz w:val="22"/>
          <w:szCs w:val="22"/>
          <w:lang w:val="en-US"/>
        </w:rPr>
        <w:t>from</w:t>
      </w:r>
      <w:r w:rsidR="006B0FB3" w:rsidRPr="399F684E">
        <w:rPr>
          <w:rFonts w:asciiTheme="minorHAnsi" w:hAnsiTheme="minorHAnsi" w:cstheme="minorBidi"/>
          <w:sz w:val="22"/>
          <w:szCs w:val="22"/>
          <w:lang w:val="en-US"/>
        </w:rPr>
        <w:t xml:space="preserve"> the list of main priorities</w:t>
      </w:r>
      <w:r w:rsidR="005F2726" w:rsidRPr="399F684E">
        <w:rPr>
          <w:rFonts w:asciiTheme="minorHAnsi" w:hAnsiTheme="minorHAnsi" w:cstheme="minorBidi"/>
          <w:sz w:val="22"/>
          <w:szCs w:val="22"/>
          <w:lang w:val="en-US"/>
        </w:rPr>
        <w:t xml:space="preserve"> </w:t>
      </w:r>
      <w:r w:rsidR="00F66C06" w:rsidRPr="399F684E">
        <w:rPr>
          <w:rFonts w:asciiTheme="minorHAnsi" w:hAnsiTheme="minorHAnsi" w:cstheme="minorBidi"/>
          <w:sz w:val="22"/>
          <w:szCs w:val="22"/>
          <w:lang w:val="en-US"/>
        </w:rPr>
        <w:t>(</w:t>
      </w:r>
      <w:r w:rsidR="005F2726" w:rsidRPr="399F684E">
        <w:rPr>
          <w:rFonts w:asciiTheme="minorHAnsi" w:hAnsiTheme="minorHAnsi" w:cstheme="minorBidi"/>
          <w:sz w:val="22"/>
          <w:szCs w:val="22"/>
          <w:lang w:val="en-US"/>
        </w:rPr>
        <w:t xml:space="preserve">also </w:t>
      </w:r>
      <w:r w:rsidR="00F66C06" w:rsidRPr="399F684E">
        <w:rPr>
          <w:rFonts w:asciiTheme="minorHAnsi" w:hAnsiTheme="minorHAnsi" w:cstheme="minorBidi"/>
          <w:sz w:val="22"/>
          <w:szCs w:val="22"/>
          <w:lang w:val="en-US"/>
        </w:rPr>
        <w:t>considering that the focus on ASF will also contribute to prevention and early detection of CSF)</w:t>
      </w:r>
      <w:r w:rsidR="006B0FB3" w:rsidRPr="399F684E">
        <w:rPr>
          <w:rFonts w:asciiTheme="minorHAnsi" w:hAnsiTheme="minorHAnsi" w:cstheme="minorBidi"/>
          <w:sz w:val="22"/>
          <w:szCs w:val="22"/>
          <w:lang w:val="en-US"/>
        </w:rPr>
        <w:t xml:space="preserve">. </w:t>
      </w:r>
      <w:r w:rsidR="00D7585A" w:rsidRPr="399F684E">
        <w:rPr>
          <w:rFonts w:asciiTheme="minorHAnsi" w:hAnsiTheme="minorHAnsi" w:cstheme="minorBidi"/>
          <w:sz w:val="22"/>
          <w:szCs w:val="22"/>
          <w:lang w:val="en-US"/>
        </w:rPr>
        <w:t xml:space="preserve"> </w:t>
      </w:r>
      <w:r w:rsidR="001F75B1" w:rsidRPr="399F684E">
        <w:rPr>
          <w:rFonts w:asciiTheme="minorHAnsi" w:hAnsiTheme="minorHAnsi" w:cstheme="minorBidi"/>
          <w:sz w:val="22"/>
          <w:szCs w:val="22"/>
          <w:lang w:val="en-US"/>
        </w:rPr>
        <w:t>Brucellosis is withdrawn</w:t>
      </w:r>
      <w:r w:rsidR="00C9142B" w:rsidRPr="399F684E">
        <w:rPr>
          <w:rFonts w:asciiTheme="minorHAnsi" w:hAnsiTheme="minorHAnsi" w:cstheme="minorBidi"/>
          <w:sz w:val="22"/>
          <w:szCs w:val="22"/>
          <w:lang w:val="en-US"/>
        </w:rPr>
        <w:t xml:space="preserve"> because</w:t>
      </w:r>
      <w:r w:rsidR="001F75B1" w:rsidRPr="399F684E">
        <w:rPr>
          <w:rFonts w:asciiTheme="minorHAnsi" w:hAnsiTheme="minorHAnsi" w:cstheme="minorBidi"/>
          <w:sz w:val="22"/>
          <w:szCs w:val="22"/>
          <w:lang w:val="en-US"/>
        </w:rPr>
        <w:t xml:space="preserve"> </w:t>
      </w:r>
      <w:r w:rsidR="00FD49B4" w:rsidRPr="399F684E">
        <w:rPr>
          <w:rFonts w:asciiTheme="minorHAnsi" w:hAnsiTheme="minorHAnsi" w:cstheme="minorBidi"/>
          <w:sz w:val="22"/>
          <w:szCs w:val="22"/>
          <w:lang w:val="en-GB"/>
        </w:rPr>
        <w:t>despite its infectious nature, brucellosis is not a transboundary animal disease in the sense its control can be achieved without a strong coordination across countries so GF-TADs is not necessar</w:t>
      </w:r>
      <w:r w:rsidR="00C9142B" w:rsidRPr="399F684E">
        <w:rPr>
          <w:rFonts w:asciiTheme="minorHAnsi" w:hAnsiTheme="minorHAnsi" w:cstheme="minorBidi"/>
          <w:sz w:val="22"/>
          <w:szCs w:val="22"/>
          <w:lang w:val="en-GB"/>
        </w:rPr>
        <w:t>il</w:t>
      </w:r>
      <w:r w:rsidR="00FD49B4" w:rsidRPr="399F684E">
        <w:rPr>
          <w:rFonts w:asciiTheme="minorHAnsi" w:hAnsiTheme="minorHAnsi" w:cstheme="minorBidi"/>
          <w:sz w:val="22"/>
          <w:szCs w:val="22"/>
          <w:lang w:val="en-GB"/>
        </w:rPr>
        <w:t>y the best mechanism</w:t>
      </w:r>
      <w:r w:rsidR="00512056" w:rsidRPr="399F684E">
        <w:rPr>
          <w:rFonts w:asciiTheme="minorHAnsi" w:hAnsiTheme="minorHAnsi" w:cstheme="minorBidi"/>
          <w:sz w:val="22"/>
          <w:szCs w:val="22"/>
          <w:lang w:val="en-GB"/>
        </w:rPr>
        <w:t xml:space="preserve">, and </w:t>
      </w:r>
      <w:r w:rsidR="00FD49B4" w:rsidRPr="399F684E">
        <w:rPr>
          <w:rFonts w:asciiTheme="minorHAnsi" w:hAnsiTheme="minorHAnsi" w:cstheme="minorBidi"/>
          <w:sz w:val="22"/>
          <w:szCs w:val="22"/>
          <w:lang w:val="en-GB"/>
        </w:rPr>
        <w:t xml:space="preserve">given its important zoonotic component </w:t>
      </w:r>
      <w:r w:rsidR="00512056" w:rsidRPr="399F684E">
        <w:rPr>
          <w:rFonts w:asciiTheme="minorHAnsi" w:hAnsiTheme="minorHAnsi" w:cstheme="minorBidi"/>
          <w:sz w:val="22"/>
          <w:szCs w:val="22"/>
          <w:lang w:val="en-GB"/>
        </w:rPr>
        <w:t>it</w:t>
      </w:r>
      <w:r w:rsidR="00FD49B4" w:rsidRPr="399F684E">
        <w:rPr>
          <w:rFonts w:asciiTheme="minorHAnsi" w:hAnsiTheme="minorHAnsi" w:cstheme="minorBidi"/>
          <w:sz w:val="22"/>
          <w:szCs w:val="22"/>
          <w:lang w:val="en-GB"/>
        </w:rPr>
        <w:t xml:space="preserve"> needs to be </w:t>
      </w:r>
      <w:r w:rsidR="00A3128C" w:rsidRPr="399F684E">
        <w:rPr>
          <w:rFonts w:asciiTheme="minorHAnsi" w:hAnsiTheme="minorHAnsi" w:cstheme="minorBidi"/>
          <w:sz w:val="22"/>
          <w:szCs w:val="22"/>
          <w:lang w:val="en-GB"/>
        </w:rPr>
        <w:t>prima</w:t>
      </w:r>
      <w:r w:rsidR="000870C2" w:rsidRPr="399F684E">
        <w:rPr>
          <w:rFonts w:asciiTheme="minorHAnsi" w:hAnsiTheme="minorHAnsi" w:cstheme="minorBidi"/>
          <w:sz w:val="22"/>
          <w:szCs w:val="22"/>
          <w:lang w:val="en-GB"/>
        </w:rPr>
        <w:t>ril</w:t>
      </w:r>
      <w:r w:rsidR="00A3128C" w:rsidRPr="399F684E">
        <w:rPr>
          <w:rFonts w:asciiTheme="minorHAnsi" w:hAnsiTheme="minorHAnsi" w:cstheme="minorBidi"/>
          <w:sz w:val="22"/>
          <w:szCs w:val="22"/>
          <w:lang w:val="en-GB"/>
        </w:rPr>
        <w:t>y</w:t>
      </w:r>
      <w:r w:rsidR="00FD49B4" w:rsidRPr="399F684E">
        <w:rPr>
          <w:rFonts w:asciiTheme="minorHAnsi" w:hAnsiTheme="minorHAnsi" w:cstheme="minorBidi"/>
          <w:sz w:val="22"/>
          <w:szCs w:val="22"/>
          <w:lang w:val="en-GB"/>
        </w:rPr>
        <w:t xml:space="preserve"> addressed under </w:t>
      </w:r>
      <w:r w:rsidR="00836F50" w:rsidRPr="399F684E">
        <w:rPr>
          <w:rFonts w:asciiTheme="minorHAnsi" w:hAnsiTheme="minorHAnsi" w:cstheme="minorBidi"/>
          <w:sz w:val="22"/>
          <w:szCs w:val="22"/>
          <w:lang w:val="en-GB"/>
        </w:rPr>
        <w:t>quadripartite</w:t>
      </w:r>
      <w:r w:rsidR="00FD49B4" w:rsidRPr="399F684E">
        <w:rPr>
          <w:rFonts w:asciiTheme="minorHAnsi" w:hAnsiTheme="minorHAnsi" w:cstheme="minorBidi"/>
          <w:sz w:val="22"/>
          <w:szCs w:val="22"/>
          <w:lang w:val="en-GB"/>
        </w:rPr>
        <w:t xml:space="preserve"> framework</w:t>
      </w:r>
      <w:r w:rsidR="001F75B1" w:rsidRPr="399F684E">
        <w:rPr>
          <w:rFonts w:asciiTheme="minorHAnsi" w:hAnsiTheme="minorHAnsi" w:cstheme="minorBidi"/>
          <w:sz w:val="22"/>
          <w:szCs w:val="22"/>
          <w:lang w:val="en-US"/>
        </w:rPr>
        <w:t xml:space="preserve">. </w:t>
      </w:r>
      <w:r w:rsidR="00247858" w:rsidRPr="399F684E">
        <w:rPr>
          <w:rFonts w:asciiTheme="minorHAnsi" w:hAnsiTheme="minorHAnsi" w:cstheme="minorBidi"/>
          <w:sz w:val="22"/>
          <w:szCs w:val="22"/>
          <w:lang w:val="en-US"/>
        </w:rPr>
        <w:t xml:space="preserve"> </w:t>
      </w:r>
    </w:p>
    <w:p w14:paraId="7F335DD5" w14:textId="1B0B8009" w:rsidR="007A46C1" w:rsidRPr="0000309C" w:rsidRDefault="007A46C1" w:rsidP="696E6AAE">
      <w:pPr>
        <w:jc w:val="both"/>
        <w:rPr>
          <w:lang w:val="en-US"/>
        </w:rPr>
      </w:pPr>
      <w:r w:rsidRPr="0000309C">
        <w:rPr>
          <w:lang w:val="en-US"/>
        </w:rPr>
        <w:t>Therefore, on the following</w:t>
      </w:r>
      <w:r w:rsidR="00BF6E19" w:rsidRPr="0000309C">
        <w:rPr>
          <w:lang w:val="en-US"/>
        </w:rPr>
        <w:t xml:space="preserve"> diseases, </w:t>
      </w:r>
      <w:r w:rsidR="001B6202" w:rsidRPr="0000309C">
        <w:rPr>
          <w:lang w:val="en-US"/>
        </w:rPr>
        <w:t>it is essential to elaborate a full</w:t>
      </w:r>
      <w:r w:rsidR="4053CAE3" w:rsidRPr="0000309C">
        <w:rPr>
          <w:lang w:val="en-US"/>
        </w:rPr>
        <w:t>-</w:t>
      </w:r>
      <w:r w:rsidR="001B6202" w:rsidRPr="0000309C">
        <w:rPr>
          <w:lang w:val="en-US"/>
        </w:rPr>
        <w:t>fledged regional control strategy</w:t>
      </w:r>
      <w:r w:rsidRPr="0000309C">
        <w:rPr>
          <w:lang w:val="en-US"/>
        </w:rPr>
        <w:t xml:space="preserve">: </w:t>
      </w:r>
    </w:p>
    <w:p w14:paraId="70A39FC0" w14:textId="70047B53" w:rsidR="007A46C1" w:rsidRPr="0000309C" w:rsidRDefault="007A46C1" w:rsidP="696E6AAE">
      <w:pPr>
        <w:pStyle w:val="ListParagraph"/>
        <w:numPr>
          <w:ilvl w:val="0"/>
          <w:numId w:val="5"/>
        </w:numPr>
        <w:jc w:val="both"/>
        <w:rPr>
          <w:lang w:val="en-US"/>
        </w:rPr>
      </w:pPr>
      <w:r w:rsidRPr="0000309C">
        <w:rPr>
          <w:lang w:val="en-US"/>
        </w:rPr>
        <w:t xml:space="preserve">ASF, which now </w:t>
      </w:r>
      <w:r w:rsidR="005F2726">
        <w:rPr>
          <w:lang w:val="en-US"/>
        </w:rPr>
        <w:t>occurs</w:t>
      </w:r>
      <w:r w:rsidR="005F2726" w:rsidRPr="0000309C">
        <w:rPr>
          <w:lang w:val="en-US"/>
        </w:rPr>
        <w:t xml:space="preserve"> </w:t>
      </w:r>
      <w:r w:rsidRPr="0000309C">
        <w:rPr>
          <w:lang w:val="en-US"/>
        </w:rPr>
        <w:t xml:space="preserve">in domestic and </w:t>
      </w:r>
      <w:r w:rsidR="00763586">
        <w:rPr>
          <w:lang w:val="en-US"/>
        </w:rPr>
        <w:t xml:space="preserve">/ or </w:t>
      </w:r>
      <w:r w:rsidRPr="0000309C">
        <w:rPr>
          <w:lang w:val="en-US"/>
        </w:rPr>
        <w:t xml:space="preserve">feral pig populations of several countries in Europe and adjacent countries, needs the </w:t>
      </w:r>
      <w:r w:rsidR="005F2726">
        <w:rPr>
          <w:lang w:val="en-US"/>
        </w:rPr>
        <w:t xml:space="preserve">vigilance and </w:t>
      </w:r>
      <w:r w:rsidR="00AE7D49" w:rsidRPr="0000309C">
        <w:rPr>
          <w:lang w:val="en-US"/>
        </w:rPr>
        <w:t>mobilization</w:t>
      </w:r>
      <w:r w:rsidRPr="0000309C">
        <w:rPr>
          <w:lang w:val="en-US"/>
        </w:rPr>
        <w:t xml:space="preserve"> of the whole region. The Standing Group of Experts on African swine fever in Europe under the GF-TADs umbrella (SGE ASF) was set up in 2014, aiming at building up a closer cooperation among countries affected by ASF </w:t>
      </w:r>
      <w:r w:rsidR="005F2726">
        <w:rPr>
          <w:lang w:val="en-US"/>
        </w:rPr>
        <w:t xml:space="preserve">at </w:t>
      </w:r>
      <w:r w:rsidR="00860962">
        <w:rPr>
          <w:lang w:val="en-US"/>
        </w:rPr>
        <w:t>Chief Veterinary Officer (</w:t>
      </w:r>
      <w:r w:rsidR="005F2726">
        <w:rPr>
          <w:lang w:val="en-US"/>
        </w:rPr>
        <w:t>CVO</w:t>
      </w:r>
      <w:r w:rsidR="00860962">
        <w:rPr>
          <w:lang w:val="en-US"/>
        </w:rPr>
        <w:t>)</w:t>
      </w:r>
      <w:r w:rsidR="005F2726">
        <w:rPr>
          <w:lang w:val="en-US"/>
        </w:rPr>
        <w:t xml:space="preserve"> and expert level </w:t>
      </w:r>
      <w:r w:rsidRPr="0000309C">
        <w:rPr>
          <w:lang w:val="en-US"/>
        </w:rPr>
        <w:t xml:space="preserve">and thereby addressing </w:t>
      </w:r>
      <w:r w:rsidR="005F2726">
        <w:rPr>
          <w:lang w:val="en-US"/>
        </w:rPr>
        <w:t xml:space="preserve">the prevention, control and eradication efforts </w:t>
      </w:r>
      <w:r w:rsidRPr="0000309C">
        <w:rPr>
          <w:lang w:val="en-US"/>
        </w:rPr>
        <w:t xml:space="preserve">based on science and best practice in a more collaborative and </w:t>
      </w:r>
      <w:r w:rsidR="0000309C" w:rsidRPr="0000309C">
        <w:rPr>
          <w:lang w:val="en-US"/>
        </w:rPr>
        <w:t>harmonized</w:t>
      </w:r>
      <w:r w:rsidRPr="0000309C">
        <w:rPr>
          <w:lang w:val="en-US"/>
        </w:rPr>
        <w:t xml:space="preserve"> manner across Europe</w:t>
      </w:r>
      <w:r w:rsidR="00860962">
        <w:rPr>
          <w:lang w:val="en-US"/>
        </w:rPr>
        <w:t>,</w:t>
      </w:r>
      <w:r w:rsidR="00860962" w:rsidRPr="0000309C">
        <w:rPr>
          <w:lang w:val="en-US"/>
        </w:rPr>
        <w:t xml:space="preserve"> </w:t>
      </w:r>
    </w:p>
    <w:p w14:paraId="50346DD4" w14:textId="7BBA18A4" w:rsidR="007A46C1" w:rsidRPr="0000309C" w:rsidRDefault="007A46C1" w:rsidP="696E6AAE">
      <w:pPr>
        <w:pStyle w:val="ListParagraph"/>
        <w:numPr>
          <w:ilvl w:val="0"/>
          <w:numId w:val="5"/>
        </w:numPr>
        <w:jc w:val="both"/>
        <w:rPr>
          <w:lang w:val="en-US"/>
        </w:rPr>
      </w:pPr>
      <w:r w:rsidRPr="0000309C">
        <w:rPr>
          <w:lang w:val="en-US"/>
        </w:rPr>
        <w:t xml:space="preserve">LSD, with the objective of strengthening mid-term regional cooperation and regional dialogue on LSD control. </w:t>
      </w:r>
      <w:r w:rsidR="00A3502A" w:rsidRPr="0000309C">
        <w:rPr>
          <w:lang w:val="en-US"/>
        </w:rPr>
        <w:t>I</w:t>
      </w:r>
      <w:r w:rsidRPr="0000309C">
        <w:rPr>
          <w:lang w:val="en-US"/>
        </w:rPr>
        <w:t>n July 2016, the first S</w:t>
      </w:r>
      <w:r w:rsidR="00815205">
        <w:rPr>
          <w:lang w:val="en-US"/>
        </w:rPr>
        <w:t xml:space="preserve">tanding </w:t>
      </w:r>
      <w:r w:rsidRPr="0000309C">
        <w:rPr>
          <w:lang w:val="en-US"/>
        </w:rPr>
        <w:t>G</w:t>
      </w:r>
      <w:r w:rsidR="00815205">
        <w:rPr>
          <w:lang w:val="en-US"/>
        </w:rPr>
        <w:t xml:space="preserve">roup of </w:t>
      </w:r>
      <w:r w:rsidRPr="0000309C">
        <w:rPr>
          <w:lang w:val="en-US"/>
        </w:rPr>
        <w:t>E</w:t>
      </w:r>
      <w:r w:rsidR="00815205">
        <w:rPr>
          <w:lang w:val="en-US"/>
        </w:rPr>
        <w:t>xperts</w:t>
      </w:r>
      <w:r w:rsidRPr="0000309C">
        <w:rPr>
          <w:lang w:val="en-US"/>
        </w:rPr>
        <w:t xml:space="preserve"> on LSD </w:t>
      </w:r>
      <w:r w:rsidR="00D0197D" w:rsidRPr="00D0197D">
        <w:rPr>
          <w:lang w:val="en-US"/>
        </w:rPr>
        <w:t xml:space="preserve">in South-East Europe </w:t>
      </w:r>
      <w:r w:rsidR="00815205">
        <w:rPr>
          <w:lang w:val="en-US"/>
        </w:rPr>
        <w:t xml:space="preserve">(SGE LSD) </w:t>
      </w:r>
      <w:r w:rsidRPr="0000309C">
        <w:rPr>
          <w:lang w:val="en-US"/>
        </w:rPr>
        <w:t xml:space="preserve">was created and met focusing on the control and eradication of the disease that had recently been introduced in </w:t>
      </w:r>
      <w:r w:rsidR="00023FC8">
        <w:rPr>
          <w:lang w:val="en-US"/>
        </w:rPr>
        <w:t>S</w:t>
      </w:r>
      <w:r w:rsidR="00207DF0" w:rsidRPr="0000309C">
        <w:rPr>
          <w:lang w:val="en-US"/>
        </w:rPr>
        <w:t>outh</w:t>
      </w:r>
      <w:r w:rsidR="00D0197D">
        <w:rPr>
          <w:lang w:val="en-US"/>
        </w:rPr>
        <w:t>-E</w:t>
      </w:r>
      <w:r w:rsidR="00207DF0" w:rsidRPr="0000309C">
        <w:rPr>
          <w:lang w:val="en-US"/>
        </w:rPr>
        <w:t>ast</w:t>
      </w:r>
      <w:r w:rsidRPr="0000309C">
        <w:rPr>
          <w:lang w:val="en-US"/>
        </w:rPr>
        <w:t xml:space="preserve"> Europe</w:t>
      </w:r>
      <w:r w:rsidR="00023FC8">
        <w:rPr>
          <w:lang w:val="en-US"/>
        </w:rPr>
        <w:t xml:space="preserve"> through a harmonized mass vaccination strategy in affected and at-risk countries</w:t>
      </w:r>
      <w:r w:rsidR="00A3502A" w:rsidRPr="0000309C">
        <w:rPr>
          <w:lang w:val="en-US"/>
        </w:rPr>
        <w:t xml:space="preserve">. Today, </w:t>
      </w:r>
      <w:r w:rsidR="00C86850" w:rsidRPr="0000309C">
        <w:rPr>
          <w:lang w:val="en-US"/>
        </w:rPr>
        <w:t xml:space="preserve">LSD in </w:t>
      </w:r>
      <w:r w:rsidR="00E203AF" w:rsidRPr="0000309C">
        <w:rPr>
          <w:lang w:val="en-US"/>
        </w:rPr>
        <w:t>South</w:t>
      </w:r>
      <w:r w:rsidR="00D0197D">
        <w:rPr>
          <w:lang w:val="en-US"/>
        </w:rPr>
        <w:t>-E</w:t>
      </w:r>
      <w:r w:rsidR="00E203AF" w:rsidRPr="0000309C">
        <w:rPr>
          <w:lang w:val="en-US"/>
        </w:rPr>
        <w:t>ast</w:t>
      </w:r>
      <w:r w:rsidR="00C86850" w:rsidRPr="0000309C">
        <w:rPr>
          <w:lang w:val="en-US"/>
        </w:rPr>
        <w:t xml:space="preserve"> Europe has been brought under control, and </w:t>
      </w:r>
      <w:r w:rsidR="00C6139A" w:rsidRPr="0000309C">
        <w:rPr>
          <w:lang w:val="en-US"/>
        </w:rPr>
        <w:t xml:space="preserve">a reevaluation of the geographical scope </w:t>
      </w:r>
      <w:r w:rsidR="00023FC8">
        <w:rPr>
          <w:lang w:val="en-US"/>
        </w:rPr>
        <w:t xml:space="preserve">of regional efforts </w:t>
      </w:r>
      <w:r w:rsidR="00C6139A" w:rsidRPr="0000309C">
        <w:rPr>
          <w:lang w:val="en-US"/>
        </w:rPr>
        <w:t xml:space="preserve">towards </w:t>
      </w:r>
      <w:r w:rsidR="00023FC8">
        <w:rPr>
          <w:lang w:val="en-US"/>
        </w:rPr>
        <w:t>C</w:t>
      </w:r>
      <w:r w:rsidR="00C6139A" w:rsidRPr="0000309C">
        <w:rPr>
          <w:lang w:val="en-US"/>
        </w:rPr>
        <w:t xml:space="preserve">entral Asia </w:t>
      </w:r>
      <w:r w:rsidR="00736123">
        <w:rPr>
          <w:lang w:val="en-US"/>
        </w:rPr>
        <w:t>has been agreed</w:t>
      </w:r>
      <w:r w:rsidR="00860962">
        <w:rPr>
          <w:lang w:val="en-US"/>
        </w:rPr>
        <w:t>,</w:t>
      </w:r>
      <w:r w:rsidR="00860962" w:rsidRPr="0000309C">
        <w:rPr>
          <w:lang w:val="en-US"/>
        </w:rPr>
        <w:t xml:space="preserve"> </w:t>
      </w:r>
    </w:p>
    <w:p w14:paraId="1AAD5BE8" w14:textId="2D503B73" w:rsidR="007A46C1" w:rsidRPr="0000309C" w:rsidRDefault="007A46C1" w:rsidP="696E6AAE">
      <w:pPr>
        <w:pStyle w:val="ListParagraph"/>
        <w:numPr>
          <w:ilvl w:val="0"/>
          <w:numId w:val="5"/>
        </w:numPr>
        <w:jc w:val="both"/>
        <w:rPr>
          <w:lang w:val="en-US"/>
        </w:rPr>
      </w:pPr>
      <w:r w:rsidRPr="0000309C">
        <w:rPr>
          <w:lang w:val="en-US"/>
        </w:rPr>
        <w:t xml:space="preserve">Rabies is still the most important zoonosis in terms of numbers of human deaths worldwide despite being entirely preventable. </w:t>
      </w:r>
      <w:r w:rsidR="00023FC8">
        <w:rPr>
          <w:lang w:val="en-US"/>
        </w:rPr>
        <w:t>It has been successfully eradicated from large parts of Western Europe</w:t>
      </w:r>
      <w:r w:rsidR="007D6EFE">
        <w:rPr>
          <w:lang w:val="en-US"/>
        </w:rPr>
        <w:t xml:space="preserve"> since the 1980s</w:t>
      </w:r>
      <w:r w:rsidR="00023FC8">
        <w:rPr>
          <w:lang w:val="en-US"/>
        </w:rPr>
        <w:t xml:space="preserve">, however wildlife rabies remains present in other sub-regions and represents a constant </w:t>
      </w:r>
      <w:r w:rsidR="007D6EFE">
        <w:rPr>
          <w:lang w:val="en-US"/>
        </w:rPr>
        <w:t>challenge</w:t>
      </w:r>
      <w:r w:rsidR="00023FC8">
        <w:rPr>
          <w:lang w:val="en-US"/>
        </w:rPr>
        <w:t xml:space="preserve"> </w:t>
      </w:r>
      <w:r w:rsidR="007D6EFE">
        <w:rPr>
          <w:lang w:val="en-US"/>
        </w:rPr>
        <w:t>for ongoing eradication efforts</w:t>
      </w:r>
      <w:r w:rsidR="00023FC8">
        <w:rPr>
          <w:lang w:val="en-US"/>
        </w:rPr>
        <w:t xml:space="preserve">. </w:t>
      </w:r>
      <w:r w:rsidR="007D6EFE">
        <w:rPr>
          <w:lang w:val="en-US"/>
        </w:rPr>
        <w:t xml:space="preserve">Experience </w:t>
      </w:r>
      <w:r w:rsidR="006F2FB2">
        <w:rPr>
          <w:lang w:val="en-US"/>
        </w:rPr>
        <w:t>has shown how crucial a coordinated (sub-)regional approach is on achieving eradication of rabies in wildlife</w:t>
      </w:r>
      <w:r w:rsidR="00D0197D">
        <w:rPr>
          <w:lang w:val="en-US"/>
        </w:rPr>
        <w:t xml:space="preserve"> (the predominant form in Europe)</w:t>
      </w:r>
      <w:r w:rsidR="006F2FB2">
        <w:rPr>
          <w:lang w:val="en-US"/>
        </w:rPr>
        <w:t xml:space="preserve">. </w:t>
      </w:r>
      <w:r w:rsidRPr="0000309C">
        <w:rPr>
          <w:lang w:val="en-US"/>
        </w:rPr>
        <w:t>For this reason, in 2019, a new Standing Group of Experts on Rabies</w:t>
      </w:r>
      <w:r w:rsidR="006F2FB2">
        <w:rPr>
          <w:lang w:val="en-US"/>
        </w:rPr>
        <w:t xml:space="preserve"> </w:t>
      </w:r>
      <w:r w:rsidR="006F2FB2" w:rsidRPr="006F2FB2">
        <w:rPr>
          <w:lang w:val="en-US"/>
        </w:rPr>
        <w:t>in Europe</w:t>
      </w:r>
      <w:r w:rsidRPr="0000309C">
        <w:rPr>
          <w:lang w:val="en-US"/>
        </w:rPr>
        <w:t xml:space="preserve"> (SGE RAB) was created.</w:t>
      </w:r>
      <w:r w:rsidR="001B6202" w:rsidRPr="0000309C">
        <w:rPr>
          <w:lang w:val="en-US"/>
        </w:rPr>
        <w:t xml:space="preserve"> </w:t>
      </w:r>
      <w:r w:rsidRPr="0000309C">
        <w:rPr>
          <w:lang w:val="en-US"/>
        </w:rPr>
        <w:t>The main objective of this Standing Group of Experts is to coordinate the oral rabies vaccination activities in wild carnivores with the overall goal to accelerate the eradication of rabies in Europe, primarily in the Balkan sub-region</w:t>
      </w:r>
      <w:r w:rsidR="00736123">
        <w:rPr>
          <w:lang w:val="en-US"/>
        </w:rPr>
        <w:t>. Action on dog mediated rabies is coordinated through the quadripartite mechanism</w:t>
      </w:r>
      <w:r w:rsidR="00860962">
        <w:rPr>
          <w:lang w:val="en-US"/>
        </w:rPr>
        <w:t>,</w:t>
      </w:r>
    </w:p>
    <w:p w14:paraId="2A5DB5B8" w14:textId="69151431" w:rsidR="002B5FAE" w:rsidRPr="00BF717D" w:rsidRDefault="007A46C1" w:rsidP="00BF717D">
      <w:pPr>
        <w:pStyle w:val="ListParagraph"/>
        <w:numPr>
          <w:ilvl w:val="0"/>
          <w:numId w:val="5"/>
        </w:numPr>
        <w:jc w:val="both"/>
        <w:rPr>
          <w:lang w:val="en-US"/>
        </w:rPr>
      </w:pPr>
      <w:r w:rsidRPr="0000309C">
        <w:rPr>
          <w:lang w:val="en-US"/>
        </w:rPr>
        <w:t>FMD, given the strong emphasis at global level with the FAO-</w:t>
      </w:r>
      <w:r w:rsidR="0081506A" w:rsidRPr="0000309C">
        <w:rPr>
          <w:lang w:val="en-US"/>
        </w:rPr>
        <w:t>WOAH</w:t>
      </w:r>
      <w:r w:rsidRPr="0000309C">
        <w:rPr>
          <w:lang w:val="en-US"/>
        </w:rPr>
        <w:t xml:space="preserve"> </w:t>
      </w:r>
      <w:r w:rsidR="00D0197D" w:rsidRPr="0000309C">
        <w:rPr>
          <w:lang w:val="en-US"/>
        </w:rPr>
        <w:t xml:space="preserve">global </w:t>
      </w:r>
      <w:r w:rsidR="00D0197D">
        <w:rPr>
          <w:lang w:val="en-US"/>
        </w:rPr>
        <w:t>control s</w:t>
      </w:r>
      <w:r w:rsidRPr="0000309C">
        <w:rPr>
          <w:lang w:val="en-US"/>
        </w:rPr>
        <w:t>trategy endorsed in June 2012</w:t>
      </w:r>
      <w:r w:rsidR="005E3E59" w:rsidRPr="00BF717D">
        <w:rPr>
          <w:lang w:val="en-US"/>
        </w:rPr>
        <w:t xml:space="preserve"> is an important topic for cooperation in the region.</w:t>
      </w:r>
      <w:r w:rsidR="00B74C67" w:rsidRPr="00A16024">
        <w:rPr>
          <w:lang w:val="en-US"/>
        </w:rPr>
        <w:t xml:space="preserve"> </w:t>
      </w:r>
      <w:r w:rsidR="00B74C67">
        <w:rPr>
          <w:lang w:val="en-US"/>
        </w:rPr>
        <w:t>R</w:t>
      </w:r>
      <w:r w:rsidR="00B74C67" w:rsidRPr="00B74C67">
        <w:rPr>
          <w:lang w:val="en-US"/>
        </w:rPr>
        <w:t>isk</w:t>
      </w:r>
      <w:r w:rsidR="00D0197D">
        <w:rPr>
          <w:lang w:val="en-US"/>
        </w:rPr>
        <w:t>s</w:t>
      </w:r>
      <w:r w:rsidR="00B74C67" w:rsidRPr="00B74C67">
        <w:rPr>
          <w:lang w:val="en-US"/>
        </w:rPr>
        <w:t xml:space="preserve"> </w:t>
      </w:r>
      <w:r w:rsidR="00D0197D">
        <w:rPr>
          <w:lang w:val="en-US"/>
        </w:rPr>
        <w:t xml:space="preserve">of incursion from neighboring countries </w:t>
      </w:r>
      <w:r w:rsidR="00B74C67">
        <w:rPr>
          <w:lang w:val="en-US"/>
        </w:rPr>
        <w:t>r</w:t>
      </w:r>
      <w:r w:rsidR="00B74C67" w:rsidRPr="00B74C67">
        <w:rPr>
          <w:lang w:val="en-US"/>
        </w:rPr>
        <w:t>e</w:t>
      </w:r>
      <w:r w:rsidR="00B74C67">
        <w:rPr>
          <w:lang w:val="en-US"/>
        </w:rPr>
        <w:t>m</w:t>
      </w:r>
      <w:r w:rsidR="00B74C67" w:rsidRPr="00B74C67">
        <w:rPr>
          <w:lang w:val="en-US"/>
        </w:rPr>
        <w:t>ain in free countries and efforts remain necessary to control the disease and reach or regain free status in Centra</w:t>
      </w:r>
      <w:r w:rsidR="00C138B8">
        <w:rPr>
          <w:lang w:val="en-US"/>
        </w:rPr>
        <w:t>l</w:t>
      </w:r>
      <w:r w:rsidR="00B74C67" w:rsidRPr="00B74C67">
        <w:rPr>
          <w:lang w:val="en-US"/>
        </w:rPr>
        <w:t xml:space="preserve"> Asia</w:t>
      </w:r>
      <w:r w:rsidR="00860962">
        <w:rPr>
          <w:lang w:val="en-US"/>
        </w:rPr>
        <w:t>,</w:t>
      </w:r>
      <w:r w:rsidR="005E3E59" w:rsidRPr="00BF717D">
        <w:rPr>
          <w:lang w:val="en-US"/>
        </w:rPr>
        <w:t xml:space="preserve"> </w:t>
      </w:r>
    </w:p>
    <w:p w14:paraId="62702A22" w14:textId="2A1ADB7E" w:rsidR="007A46C1" w:rsidRPr="0000309C" w:rsidRDefault="007A46C1" w:rsidP="696E6AAE">
      <w:pPr>
        <w:pStyle w:val="ListParagraph"/>
        <w:numPr>
          <w:ilvl w:val="0"/>
          <w:numId w:val="5"/>
        </w:numPr>
        <w:jc w:val="both"/>
        <w:rPr>
          <w:lang w:val="en-US"/>
        </w:rPr>
      </w:pPr>
      <w:r w:rsidRPr="36C17C6A">
        <w:rPr>
          <w:lang w:val="en-US"/>
        </w:rPr>
        <w:t xml:space="preserve">HPAI, for its economic </w:t>
      </w:r>
      <w:r w:rsidR="007767C4" w:rsidRPr="36C17C6A">
        <w:rPr>
          <w:lang w:val="en-US"/>
        </w:rPr>
        <w:t xml:space="preserve">impact in </w:t>
      </w:r>
      <w:r w:rsidRPr="36C17C6A">
        <w:rPr>
          <w:lang w:val="en-US"/>
        </w:rPr>
        <w:t>the region</w:t>
      </w:r>
      <w:r w:rsidR="00FB1E66" w:rsidRPr="36C17C6A">
        <w:rPr>
          <w:lang w:val="en-US"/>
        </w:rPr>
        <w:t xml:space="preserve"> and because of its zoonotic potential</w:t>
      </w:r>
      <w:r w:rsidR="002B5FAE" w:rsidRPr="36C17C6A">
        <w:rPr>
          <w:lang w:val="en-US"/>
        </w:rPr>
        <w:t>,</w:t>
      </w:r>
      <w:r w:rsidRPr="36C17C6A">
        <w:rPr>
          <w:lang w:val="en-US"/>
        </w:rPr>
        <w:t xml:space="preserve"> </w:t>
      </w:r>
      <w:r w:rsidR="00D0197D" w:rsidRPr="36C17C6A">
        <w:rPr>
          <w:lang w:val="en-US"/>
        </w:rPr>
        <w:t xml:space="preserve">and </w:t>
      </w:r>
      <w:r w:rsidR="00C138B8" w:rsidRPr="36C17C6A">
        <w:rPr>
          <w:lang w:val="en-US"/>
        </w:rPr>
        <w:t xml:space="preserve">the </w:t>
      </w:r>
      <w:r w:rsidR="00D0197D" w:rsidRPr="36C17C6A">
        <w:rPr>
          <w:lang w:val="en-US"/>
        </w:rPr>
        <w:t xml:space="preserve">recent </w:t>
      </w:r>
      <w:r w:rsidR="00C138B8" w:rsidRPr="36C17C6A">
        <w:rPr>
          <w:lang w:val="en-US"/>
        </w:rPr>
        <w:t xml:space="preserve">evolution of its </w:t>
      </w:r>
      <w:r w:rsidR="00D0197D" w:rsidRPr="36C17C6A">
        <w:rPr>
          <w:lang w:val="en-US"/>
        </w:rPr>
        <w:t>epidemiolog</w:t>
      </w:r>
      <w:r w:rsidR="00C138B8" w:rsidRPr="36C17C6A">
        <w:rPr>
          <w:lang w:val="en-US"/>
        </w:rPr>
        <w:t>y</w:t>
      </w:r>
      <w:r w:rsidR="00D0197D" w:rsidRPr="36C17C6A">
        <w:rPr>
          <w:lang w:val="en-US"/>
        </w:rPr>
        <w:t xml:space="preserve"> in Europe both in wild birds and in poultry, </w:t>
      </w:r>
      <w:r w:rsidR="006E3C80" w:rsidRPr="36C17C6A">
        <w:rPr>
          <w:lang w:val="en-US"/>
        </w:rPr>
        <w:t>triggers the</w:t>
      </w:r>
      <w:r w:rsidR="002B5FAE" w:rsidRPr="36C17C6A">
        <w:rPr>
          <w:lang w:val="en-US"/>
        </w:rPr>
        <w:t xml:space="preserve"> need to </w:t>
      </w:r>
      <w:r w:rsidR="006E0757" w:rsidRPr="36C17C6A">
        <w:rPr>
          <w:lang w:val="en-US"/>
        </w:rPr>
        <w:t>improve existing coordination mechanisms</w:t>
      </w:r>
      <w:r w:rsidR="00826824" w:rsidRPr="36C17C6A">
        <w:rPr>
          <w:lang w:val="en-US"/>
        </w:rPr>
        <w:t xml:space="preserve"> </w:t>
      </w:r>
      <w:r w:rsidR="00B50BBE" w:rsidRPr="36C17C6A">
        <w:rPr>
          <w:lang w:val="en-US"/>
        </w:rPr>
        <w:t xml:space="preserve">especially on surveillance </w:t>
      </w:r>
      <w:r w:rsidR="00CD2055" w:rsidRPr="36C17C6A">
        <w:rPr>
          <w:lang w:val="en-US"/>
        </w:rPr>
        <w:t>throughout the different parts of the region and inter-regionally for</w:t>
      </w:r>
      <w:r w:rsidR="00C138B8" w:rsidRPr="36C17C6A">
        <w:rPr>
          <w:lang w:val="en-US"/>
        </w:rPr>
        <w:t xml:space="preserve"> early detection in wild birds and poultry</w:t>
      </w:r>
      <w:r w:rsidR="00CD2055" w:rsidRPr="36C17C6A">
        <w:rPr>
          <w:lang w:val="en-US"/>
        </w:rPr>
        <w:t xml:space="preserve">, for monitoring the evolution in the characteristics of the virus </w:t>
      </w:r>
      <w:r w:rsidR="00E95445" w:rsidRPr="36C17C6A">
        <w:rPr>
          <w:lang w:val="en-US"/>
        </w:rPr>
        <w:t xml:space="preserve">and </w:t>
      </w:r>
      <w:r w:rsidR="00B50BBE" w:rsidRPr="36C17C6A">
        <w:rPr>
          <w:lang w:val="en-US"/>
        </w:rPr>
        <w:t>to</w:t>
      </w:r>
      <w:r w:rsidR="006031E6" w:rsidRPr="36C17C6A">
        <w:rPr>
          <w:lang w:val="en-US"/>
        </w:rPr>
        <w:t xml:space="preserve"> improve </w:t>
      </w:r>
      <w:r w:rsidR="00896D5C" w:rsidRPr="36C17C6A">
        <w:rPr>
          <w:lang w:val="en-US"/>
        </w:rPr>
        <w:t xml:space="preserve">regional approaches to </w:t>
      </w:r>
      <w:r w:rsidR="00A23CA0" w:rsidRPr="36C17C6A">
        <w:rPr>
          <w:lang w:val="en-US"/>
        </w:rPr>
        <w:t>prevention and outbreak control</w:t>
      </w:r>
      <w:r w:rsidR="00A03C98" w:rsidRPr="36C17C6A">
        <w:rPr>
          <w:lang w:val="en-US"/>
        </w:rPr>
        <w:t xml:space="preserve">. </w:t>
      </w:r>
    </w:p>
    <w:p w14:paraId="150975E4" w14:textId="2EE9DF40" w:rsidR="5D82D1B6" w:rsidRDefault="5D82D1B6" w:rsidP="5E85794F">
      <w:pPr>
        <w:pStyle w:val="ListParagraph"/>
        <w:numPr>
          <w:ilvl w:val="0"/>
          <w:numId w:val="5"/>
        </w:numPr>
        <w:jc w:val="both"/>
        <w:rPr>
          <w:lang w:val="en-US"/>
        </w:rPr>
      </w:pPr>
      <w:r w:rsidRPr="36C17C6A">
        <w:rPr>
          <w:lang w:val="en-US"/>
        </w:rPr>
        <w:t>PPR</w:t>
      </w:r>
      <w:r w:rsidR="3A2C0EFB" w:rsidRPr="36C17C6A">
        <w:rPr>
          <w:lang w:val="en-US"/>
        </w:rPr>
        <w:t xml:space="preserve">, given the strong priority of the </w:t>
      </w:r>
      <w:r w:rsidR="386AC8FC" w:rsidRPr="36C17C6A">
        <w:rPr>
          <w:lang w:val="en-US"/>
        </w:rPr>
        <w:t xml:space="preserve">Global eradication </w:t>
      </w:r>
      <w:proofErr w:type="spellStart"/>
      <w:r w:rsidR="386AC8FC" w:rsidRPr="36C17C6A">
        <w:rPr>
          <w:lang w:val="en-US"/>
        </w:rPr>
        <w:t>programme</w:t>
      </w:r>
      <w:proofErr w:type="spellEnd"/>
      <w:r w:rsidR="386AC8FC" w:rsidRPr="36C17C6A">
        <w:rPr>
          <w:lang w:val="en-US"/>
        </w:rPr>
        <w:t xml:space="preserve"> </w:t>
      </w:r>
      <w:r w:rsidR="6D7EE010" w:rsidRPr="36C17C6A">
        <w:rPr>
          <w:lang w:val="en-US"/>
        </w:rPr>
        <w:t xml:space="preserve">aimed at eradicating the disease by 2030, and the presence of the disease in Central Asia, </w:t>
      </w:r>
      <w:r w:rsidR="4927669D" w:rsidRPr="36C17C6A">
        <w:rPr>
          <w:lang w:val="en-US"/>
        </w:rPr>
        <w:t xml:space="preserve">needs to be fully integrated in the regional plan of action. </w:t>
      </w:r>
    </w:p>
    <w:p w14:paraId="040D3312" w14:textId="29B041E1" w:rsidR="007A46C1" w:rsidRPr="0000309C" w:rsidRDefault="007A46C1" w:rsidP="696E6AAE">
      <w:pPr>
        <w:jc w:val="both"/>
        <w:rPr>
          <w:lang w:val="en-US"/>
        </w:rPr>
      </w:pPr>
      <w:r w:rsidRPr="399F684E">
        <w:rPr>
          <w:lang w:val="en-US"/>
        </w:rPr>
        <w:t xml:space="preserve">The Action Plan also integrates the regional component of strategies </w:t>
      </w:r>
      <w:r w:rsidR="005C2DB7" w:rsidRPr="399F684E">
        <w:rPr>
          <w:lang w:val="en-US"/>
        </w:rPr>
        <w:t xml:space="preserve">addressed </w:t>
      </w:r>
      <w:r w:rsidRPr="399F684E">
        <w:rPr>
          <w:lang w:val="en-US"/>
        </w:rPr>
        <w:t>at global level under the GF-TADs mechanism (Rinderpest post eradication activities, FMD global control strategies)</w:t>
      </w:r>
      <w:r w:rsidR="00A03C98" w:rsidRPr="399F684E">
        <w:rPr>
          <w:lang w:val="en-US"/>
        </w:rPr>
        <w:t>.</w:t>
      </w:r>
    </w:p>
    <w:p w14:paraId="290DBB60" w14:textId="22AB6B88" w:rsidR="007A46C1" w:rsidRPr="0000309C" w:rsidRDefault="007A46C1" w:rsidP="696E6AAE">
      <w:pPr>
        <w:jc w:val="both"/>
        <w:rPr>
          <w:lang w:val="en-US"/>
        </w:rPr>
      </w:pPr>
      <w:r w:rsidRPr="1B29F33B">
        <w:rPr>
          <w:lang w:val="en-US"/>
        </w:rPr>
        <w:t>The Action Plan is flexible enough to address new or rising concerns (emergence or re-emergence of a transboundary animal disease, which would become a regional priority).  </w:t>
      </w:r>
    </w:p>
    <w:tbl>
      <w:tblPr>
        <w:tblStyle w:val="TableGrid"/>
        <w:tblW w:w="0" w:type="auto"/>
        <w:tblLayout w:type="fixed"/>
        <w:tblLook w:val="06A0" w:firstRow="1" w:lastRow="0" w:firstColumn="1" w:lastColumn="0" w:noHBand="1" w:noVBand="1"/>
      </w:tblPr>
      <w:tblGrid>
        <w:gridCol w:w="1129"/>
        <w:gridCol w:w="8216"/>
      </w:tblGrid>
      <w:tr w:rsidR="1B29F33B" w:rsidRPr="00F11FD9" w14:paraId="3BA84332" w14:textId="77777777" w:rsidTr="00A16024">
        <w:tc>
          <w:tcPr>
            <w:tcW w:w="1129" w:type="dxa"/>
            <w:vMerge w:val="restart"/>
          </w:tcPr>
          <w:p w14:paraId="76F239FE" w14:textId="58C537B1" w:rsidR="00F92F26" w:rsidRDefault="00F92F26" w:rsidP="1B29F33B">
            <w:pPr>
              <w:rPr>
                <w:lang w:val="en-US"/>
              </w:rPr>
            </w:pPr>
            <w:r w:rsidRPr="1B29F33B">
              <w:rPr>
                <w:lang w:val="en-US"/>
              </w:rPr>
              <w:t>Example Activit</w:t>
            </w:r>
            <w:r w:rsidR="007675AB" w:rsidRPr="1B29F33B">
              <w:rPr>
                <w:lang w:val="en-US"/>
              </w:rPr>
              <w:t>ies Proposed</w:t>
            </w:r>
          </w:p>
        </w:tc>
        <w:tc>
          <w:tcPr>
            <w:tcW w:w="8216" w:type="dxa"/>
          </w:tcPr>
          <w:p w14:paraId="75FAAAA7" w14:textId="17D222E5" w:rsidR="1B29F33B" w:rsidRDefault="007675AB" w:rsidP="1B29F33B">
            <w:pPr>
              <w:rPr>
                <w:lang w:val="en-US"/>
              </w:rPr>
            </w:pPr>
            <w:r w:rsidRPr="1B29F33B">
              <w:rPr>
                <w:lang w:val="en-US"/>
              </w:rPr>
              <w:t>V</w:t>
            </w:r>
            <w:r w:rsidR="00BB5FFF" w:rsidRPr="1B29F33B">
              <w:rPr>
                <w:lang w:val="en-US"/>
              </w:rPr>
              <w:t xml:space="preserve">erify regularly during RSC that priority TADs match </w:t>
            </w:r>
            <w:r w:rsidRPr="1B29F33B">
              <w:rPr>
                <w:lang w:val="en-US"/>
              </w:rPr>
              <w:t xml:space="preserve">the </w:t>
            </w:r>
            <w:r w:rsidR="00BB5FFF" w:rsidRPr="1B29F33B">
              <w:rPr>
                <w:lang w:val="en-US"/>
              </w:rPr>
              <w:t>priorities of the different sub</w:t>
            </w:r>
            <w:r w:rsidR="005C2DB7">
              <w:rPr>
                <w:lang w:val="en-US"/>
              </w:rPr>
              <w:t>-</w:t>
            </w:r>
            <w:r w:rsidR="00BB5FFF" w:rsidRPr="1B29F33B">
              <w:rPr>
                <w:lang w:val="en-US"/>
              </w:rPr>
              <w:t>regions</w:t>
            </w:r>
          </w:p>
        </w:tc>
      </w:tr>
      <w:tr w:rsidR="1B29F33B" w:rsidRPr="00F11FD9" w14:paraId="320D7716" w14:textId="77777777" w:rsidTr="00A16024">
        <w:trPr>
          <w:trHeight w:val="840"/>
        </w:trPr>
        <w:tc>
          <w:tcPr>
            <w:tcW w:w="1129" w:type="dxa"/>
            <w:vMerge/>
          </w:tcPr>
          <w:p w14:paraId="4B2C01B0" w14:textId="77777777" w:rsidR="009E132A" w:rsidRPr="00A16024" w:rsidRDefault="009E132A">
            <w:pPr>
              <w:rPr>
                <w:lang w:val="en-US"/>
              </w:rPr>
            </w:pPr>
          </w:p>
        </w:tc>
        <w:tc>
          <w:tcPr>
            <w:tcW w:w="8216" w:type="dxa"/>
          </w:tcPr>
          <w:p w14:paraId="068BBD4D" w14:textId="06216FE3" w:rsidR="1B29F33B" w:rsidRDefault="007675AB" w:rsidP="1B29F33B">
            <w:pPr>
              <w:rPr>
                <w:lang w:val="en-US"/>
              </w:rPr>
            </w:pPr>
            <w:r w:rsidRPr="006B6952">
              <w:rPr>
                <w:lang w:val="en-US"/>
              </w:rPr>
              <w:t xml:space="preserve">In case of </w:t>
            </w:r>
            <w:r w:rsidR="004F267C" w:rsidRPr="006B6952">
              <w:rPr>
                <w:lang w:val="en-US"/>
              </w:rPr>
              <w:t>emerging disease</w:t>
            </w:r>
            <w:r w:rsidR="005C2DB7">
              <w:rPr>
                <w:lang w:val="en-US"/>
              </w:rPr>
              <w:t>,</w:t>
            </w:r>
            <w:r w:rsidR="004F267C" w:rsidRPr="006B6952">
              <w:rPr>
                <w:lang w:val="en-US"/>
              </w:rPr>
              <w:t xml:space="preserve"> consider if GF-TADs should be involved as coordination mechanism</w:t>
            </w:r>
          </w:p>
        </w:tc>
      </w:tr>
    </w:tbl>
    <w:p w14:paraId="05219691" w14:textId="746ECB82" w:rsidR="00594241" w:rsidRPr="0000309C" w:rsidRDefault="00594241" w:rsidP="00391EF3">
      <w:pPr>
        <w:pStyle w:val="Heading2"/>
        <w:numPr>
          <w:ilvl w:val="1"/>
          <w:numId w:val="3"/>
        </w:numPr>
        <w:jc w:val="both"/>
        <w:rPr>
          <w:lang w:val="en-US"/>
        </w:rPr>
      </w:pPr>
      <w:r w:rsidRPr="0000309C">
        <w:rPr>
          <w:lang w:val="en-US"/>
        </w:rPr>
        <w:t>Regional and sub</w:t>
      </w:r>
      <w:r w:rsidR="005C2DB7">
        <w:rPr>
          <w:lang w:val="en-US"/>
        </w:rPr>
        <w:t>-</w:t>
      </w:r>
      <w:r w:rsidRPr="0000309C">
        <w:rPr>
          <w:lang w:val="en-US"/>
        </w:rPr>
        <w:t xml:space="preserve">regional TADs control </w:t>
      </w:r>
      <w:r w:rsidR="005C2DB7">
        <w:rPr>
          <w:lang w:val="en-US"/>
        </w:rPr>
        <w:t xml:space="preserve">activities </w:t>
      </w:r>
      <w:r w:rsidRPr="0000309C">
        <w:rPr>
          <w:lang w:val="en-US"/>
        </w:rPr>
        <w:t>are formulated in alignment with global and regional strategies</w:t>
      </w:r>
    </w:p>
    <w:p w14:paraId="1F144A23" w14:textId="77777777" w:rsidR="00A03C98" w:rsidRPr="0000309C" w:rsidRDefault="00A03C98" w:rsidP="00391EF3">
      <w:pPr>
        <w:jc w:val="both"/>
        <w:rPr>
          <w:lang w:val="en-US"/>
        </w:rPr>
      </w:pPr>
    </w:p>
    <w:p w14:paraId="5632DA7B" w14:textId="2E5FD6D7" w:rsidR="00EF7575" w:rsidRPr="0000309C" w:rsidRDefault="00A03C98" w:rsidP="696E6AAE">
      <w:pPr>
        <w:jc w:val="both"/>
        <w:rPr>
          <w:lang w:val="en-US"/>
        </w:rPr>
      </w:pPr>
      <w:r w:rsidRPr="0000309C">
        <w:rPr>
          <w:lang w:val="en-US"/>
        </w:rPr>
        <w:t>Consider</w:t>
      </w:r>
      <w:r w:rsidR="00372F6E" w:rsidRPr="0000309C">
        <w:rPr>
          <w:lang w:val="en-US"/>
        </w:rPr>
        <w:t xml:space="preserve">ing the list of </w:t>
      </w:r>
      <w:r w:rsidR="005C2DB7" w:rsidRPr="0000309C">
        <w:rPr>
          <w:lang w:val="en-US"/>
        </w:rPr>
        <w:t xml:space="preserve">regional </w:t>
      </w:r>
      <w:r w:rsidR="00372F6E" w:rsidRPr="0000309C">
        <w:rPr>
          <w:lang w:val="en-US"/>
        </w:rPr>
        <w:t xml:space="preserve">priority diseases above, </w:t>
      </w:r>
      <w:r w:rsidR="00937984" w:rsidRPr="0000309C">
        <w:rPr>
          <w:lang w:val="en-US"/>
        </w:rPr>
        <w:t xml:space="preserve">it must be underlined that </w:t>
      </w:r>
      <w:r w:rsidR="00EF7575" w:rsidRPr="0000309C">
        <w:rPr>
          <w:lang w:val="en-US"/>
        </w:rPr>
        <w:t xml:space="preserve">epizootic situations vary for some diseases in the European region, and that local </w:t>
      </w:r>
      <w:r w:rsidR="005C2DB7">
        <w:rPr>
          <w:lang w:val="en-US"/>
        </w:rPr>
        <w:t xml:space="preserve">or sub-regional </w:t>
      </w:r>
      <w:r w:rsidR="00EF7575" w:rsidRPr="0000309C">
        <w:rPr>
          <w:lang w:val="en-US"/>
        </w:rPr>
        <w:t xml:space="preserve">focus can differ from the overarching regional one. </w:t>
      </w:r>
    </w:p>
    <w:p w14:paraId="58069A50" w14:textId="2DC1B92B" w:rsidR="00342C32" w:rsidRPr="0000309C" w:rsidRDefault="00EF7575" w:rsidP="696E6AAE">
      <w:pPr>
        <w:jc w:val="both"/>
        <w:rPr>
          <w:lang w:val="en-US"/>
        </w:rPr>
      </w:pPr>
      <w:r w:rsidRPr="0000309C">
        <w:rPr>
          <w:lang w:val="en-US"/>
        </w:rPr>
        <w:t xml:space="preserve">To this end, it is important to identify </w:t>
      </w:r>
      <w:r w:rsidR="005C2DB7" w:rsidRPr="0000309C">
        <w:rPr>
          <w:lang w:val="en-US"/>
        </w:rPr>
        <w:t>sub</w:t>
      </w:r>
      <w:r w:rsidR="005C2DB7">
        <w:rPr>
          <w:lang w:val="en-US"/>
        </w:rPr>
        <w:t>-</w:t>
      </w:r>
      <w:r w:rsidRPr="0000309C">
        <w:rPr>
          <w:lang w:val="en-US"/>
        </w:rPr>
        <w:t xml:space="preserve">regional priorities, and to develop </w:t>
      </w:r>
      <w:r w:rsidR="00342C32" w:rsidRPr="0000309C">
        <w:rPr>
          <w:lang w:val="en-US"/>
        </w:rPr>
        <w:t>sub</w:t>
      </w:r>
      <w:r w:rsidR="005C2DB7">
        <w:rPr>
          <w:lang w:val="en-US"/>
        </w:rPr>
        <w:t>-</w:t>
      </w:r>
      <w:r w:rsidR="00342C32" w:rsidRPr="0000309C">
        <w:rPr>
          <w:lang w:val="en-US"/>
        </w:rPr>
        <w:t>regional planning for the fight against</w:t>
      </w:r>
      <w:r w:rsidR="005C2DB7">
        <w:rPr>
          <w:lang w:val="en-US"/>
        </w:rPr>
        <w:t xml:space="preserve"> transboundary</w:t>
      </w:r>
      <w:r w:rsidR="00342C32" w:rsidRPr="0000309C">
        <w:rPr>
          <w:lang w:val="en-US"/>
        </w:rPr>
        <w:t xml:space="preserve"> animal diseases whenever necessary. This can include:</w:t>
      </w:r>
    </w:p>
    <w:p w14:paraId="32FB2321" w14:textId="4576BD1F" w:rsidR="00A03C98" w:rsidRPr="0000309C" w:rsidRDefault="00342C32" w:rsidP="696E6AAE">
      <w:pPr>
        <w:pStyle w:val="ListParagraph"/>
        <w:numPr>
          <w:ilvl w:val="0"/>
          <w:numId w:val="7"/>
        </w:numPr>
        <w:jc w:val="both"/>
        <w:rPr>
          <w:lang w:val="en-US"/>
        </w:rPr>
      </w:pPr>
      <w:r w:rsidRPr="0000309C">
        <w:rPr>
          <w:lang w:val="en-US"/>
        </w:rPr>
        <w:t xml:space="preserve">Creating </w:t>
      </w:r>
      <w:r w:rsidR="00237F95" w:rsidRPr="0000309C">
        <w:rPr>
          <w:lang w:val="en-US"/>
        </w:rPr>
        <w:t xml:space="preserve">or maintaining tools specifically for </w:t>
      </w:r>
      <w:r w:rsidR="005C2DB7">
        <w:rPr>
          <w:lang w:val="en-US"/>
        </w:rPr>
        <w:t>TADs</w:t>
      </w:r>
      <w:r w:rsidR="005C2DB7" w:rsidRPr="0000309C">
        <w:rPr>
          <w:lang w:val="en-US"/>
        </w:rPr>
        <w:t xml:space="preserve"> </w:t>
      </w:r>
      <w:r w:rsidR="00237F95" w:rsidRPr="0000309C">
        <w:rPr>
          <w:lang w:val="en-US"/>
        </w:rPr>
        <w:t>of sub</w:t>
      </w:r>
      <w:r w:rsidR="00841BDF" w:rsidRPr="0000309C">
        <w:rPr>
          <w:lang w:val="en-US"/>
        </w:rPr>
        <w:t>-</w:t>
      </w:r>
      <w:r w:rsidR="00237F95" w:rsidRPr="0000309C">
        <w:rPr>
          <w:lang w:val="en-US"/>
        </w:rPr>
        <w:t xml:space="preserve">regional importance (SGEs, Roadmaps, </w:t>
      </w:r>
      <w:r w:rsidR="00815205" w:rsidRPr="00815205">
        <w:rPr>
          <w:lang w:val="en-US"/>
        </w:rPr>
        <w:t xml:space="preserve">Regional Advisory Groups </w:t>
      </w:r>
      <w:r w:rsidR="00815205">
        <w:rPr>
          <w:lang w:val="en-US"/>
        </w:rPr>
        <w:t>(</w:t>
      </w:r>
      <w:r w:rsidR="008057D1" w:rsidRPr="0000309C">
        <w:rPr>
          <w:lang w:val="en-US"/>
        </w:rPr>
        <w:t>RAGs</w:t>
      </w:r>
      <w:r w:rsidR="00815205">
        <w:rPr>
          <w:lang w:val="en-US"/>
        </w:rPr>
        <w:t>)</w:t>
      </w:r>
      <w:r w:rsidR="008057D1" w:rsidRPr="0000309C">
        <w:rPr>
          <w:lang w:val="en-US"/>
        </w:rPr>
        <w:t xml:space="preserve"> can address sub</w:t>
      </w:r>
      <w:r w:rsidR="005C2DB7">
        <w:rPr>
          <w:lang w:val="en-US"/>
        </w:rPr>
        <w:t>-</w:t>
      </w:r>
      <w:r w:rsidR="008057D1" w:rsidRPr="0000309C">
        <w:rPr>
          <w:lang w:val="en-US"/>
        </w:rPr>
        <w:t xml:space="preserve">regional issues with groups of countries directly affected or threatened by relevant </w:t>
      </w:r>
      <w:r w:rsidR="005C2DB7">
        <w:rPr>
          <w:lang w:val="en-US"/>
        </w:rPr>
        <w:t>TADs</w:t>
      </w:r>
      <w:r w:rsidR="00365C1C" w:rsidRPr="0000309C">
        <w:rPr>
          <w:lang w:val="en-US"/>
        </w:rPr>
        <w:t>)</w:t>
      </w:r>
      <w:r w:rsidR="00860962">
        <w:rPr>
          <w:lang w:val="en-US"/>
        </w:rPr>
        <w:t>,</w:t>
      </w:r>
    </w:p>
    <w:p w14:paraId="3523FA35" w14:textId="2B667840" w:rsidR="00365C1C" w:rsidRDefault="00365C1C" w:rsidP="696E6AAE">
      <w:pPr>
        <w:pStyle w:val="ListParagraph"/>
        <w:numPr>
          <w:ilvl w:val="0"/>
          <w:numId w:val="7"/>
        </w:numPr>
        <w:jc w:val="both"/>
        <w:rPr>
          <w:lang w:val="en-US"/>
        </w:rPr>
      </w:pPr>
      <w:r w:rsidRPr="36C17C6A">
        <w:rPr>
          <w:lang w:val="en-US"/>
        </w:rPr>
        <w:t>Encouraging sub</w:t>
      </w:r>
      <w:r w:rsidR="005C2DB7" w:rsidRPr="36C17C6A">
        <w:rPr>
          <w:lang w:val="en-US"/>
        </w:rPr>
        <w:t>-</w:t>
      </w:r>
      <w:r w:rsidRPr="36C17C6A">
        <w:rPr>
          <w:lang w:val="en-US"/>
        </w:rPr>
        <w:t xml:space="preserve">regions to actively exchange with adjacent regions wherever TADs control </w:t>
      </w:r>
      <w:r w:rsidR="000720F9" w:rsidRPr="36C17C6A">
        <w:rPr>
          <w:lang w:val="en-US"/>
        </w:rPr>
        <w:t xml:space="preserve">makes </w:t>
      </w:r>
      <w:r w:rsidR="005C2DB7" w:rsidRPr="36C17C6A">
        <w:rPr>
          <w:lang w:val="en-US"/>
        </w:rPr>
        <w:t xml:space="preserve">coordination across regions </w:t>
      </w:r>
      <w:r w:rsidR="000720F9" w:rsidRPr="36C17C6A">
        <w:rPr>
          <w:lang w:val="en-US"/>
        </w:rPr>
        <w:t>relevant</w:t>
      </w:r>
      <w:r w:rsidR="00C9142B" w:rsidRPr="36C17C6A">
        <w:rPr>
          <w:lang w:val="en-US"/>
        </w:rPr>
        <w:t>,</w:t>
      </w:r>
    </w:p>
    <w:p w14:paraId="34D4A7CB" w14:textId="4B816DC8" w:rsidR="002B1A02" w:rsidRPr="00C9142B" w:rsidRDefault="00C9142B" w:rsidP="000870C2">
      <w:pPr>
        <w:pStyle w:val="ListParagraph"/>
        <w:numPr>
          <w:ilvl w:val="0"/>
          <w:numId w:val="7"/>
        </w:numPr>
        <w:jc w:val="both"/>
        <w:rPr>
          <w:lang w:val="en-US"/>
        </w:rPr>
      </w:pPr>
      <w:r w:rsidRPr="36C17C6A">
        <w:rPr>
          <w:lang w:val="en-US"/>
        </w:rPr>
        <w:t>S</w:t>
      </w:r>
      <w:r w:rsidR="002B1A02" w:rsidRPr="36C17C6A">
        <w:rPr>
          <w:lang w:val="en-US"/>
        </w:rPr>
        <w:t>upport to formulate relevant (sub</w:t>
      </w:r>
      <w:r w:rsidRPr="36C17C6A">
        <w:rPr>
          <w:lang w:val="en-US"/>
        </w:rPr>
        <w:t>-</w:t>
      </w:r>
      <w:r w:rsidR="002B1A02" w:rsidRPr="36C17C6A">
        <w:rPr>
          <w:lang w:val="en-US"/>
        </w:rPr>
        <w:t>)regi</w:t>
      </w:r>
      <w:r w:rsidRPr="36C17C6A">
        <w:rPr>
          <w:lang w:val="en-US"/>
        </w:rPr>
        <w:t>o</w:t>
      </w:r>
      <w:r w:rsidR="002B1A02" w:rsidRPr="36C17C6A">
        <w:rPr>
          <w:lang w:val="en-US"/>
        </w:rPr>
        <w:t>nal strategy when necessary</w:t>
      </w:r>
      <w:r w:rsidRPr="36C17C6A">
        <w:rPr>
          <w:lang w:val="en-US"/>
        </w:rPr>
        <w:t xml:space="preserve"> (for e</w:t>
      </w:r>
      <w:r w:rsidR="002B1A02" w:rsidRPr="36C17C6A">
        <w:rPr>
          <w:lang w:val="en-US"/>
        </w:rPr>
        <w:t>xample</w:t>
      </w:r>
      <w:r w:rsidRPr="36C17C6A">
        <w:rPr>
          <w:lang w:val="en-US"/>
        </w:rPr>
        <w:t>,</w:t>
      </w:r>
      <w:r w:rsidR="002B1A02" w:rsidRPr="36C17C6A">
        <w:rPr>
          <w:lang w:val="en-US"/>
        </w:rPr>
        <w:t xml:space="preserve"> LSD in Central Asia</w:t>
      </w:r>
      <w:r w:rsidRPr="36C17C6A">
        <w:rPr>
          <w:lang w:val="en-US"/>
        </w:rPr>
        <w:t>)</w:t>
      </w:r>
      <w:r w:rsidR="000870C2" w:rsidRPr="36C17C6A">
        <w:rPr>
          <w:lang w:val="en-US"/>
        </w:rPr>
        <w:t>.</w:t>
      </w:r>
    </w:p>
    <w:p w14:paraId="4C78730F" w14:textId="4FBF57DB" w:rsidR="000720F9" w:rsidRDefault="00BB05F8" w:rsidP="00BB05F8">
      <w:pPr>
        <w:jc w:val="both"/>
        <w:rPr>
          <w:lang w:val="en-US"/>
        </w:rPr>
      </w:pPr>
      <w:r w:rsidRPr="0000309C">
        <w:rPr>
          <w:lang w:val="en-US"/>
        </w:rPr>
        <w:t xml:space="preserve">These strategies can have a degree of autonomy </w:t>
      </w:r>
      <w:r w:rsidR="00D2134C" w:rsidRPr="0000309C">
        <w:rPr>
          <w:lang w:val="en-US"/>
        </w:rPr>
        <w:t>at sub</w:t>
      </w:r>
      <w:r w:rsidR="005C2DB7">
        <w:rPr>
          <w:lang w:val="en-US"/>
        </w:rPr>
        <w:t>-</w:t>
      </w:r>
      <w:r w:rsidR="00D2134C" w:rsidRPr="0000309C">
        <w:rPr>
          <w:lang w:val="en-US"/>
        </w:rPr>
        <w:t xml:space="preserve">regional </w:t>
      </w:r>
      <w:r w:rsidR="006F49D1" w:rsidRPr="0000309C">
        <w:rPr>
          <w:lang w:val="en-US"/>
        </w:rPr>
        <w:t>level but</w:t>
      </w:r>
      <w:r w:rsidR="00D2134C" w:rsidRPr="0000309C">
        <w:rPr>
          <w:lang w:val="en-US"/>
        </w:rPr>
        <w:t xml:space="preserve"> must be approved by the President of the RSC</w:t>
      </w:r>
      <w:r w:rsidR="00815205">
        <w:rPr>
          <w:lang w:val="en-US"/>
        </w:rPr>
        <w:t xml:space="preserve">, who will chair the </w:t>
      </w:r>
      <w:r w:rsidR="00C138B8">
        <w:rPr>
          <w:lang w:val="en-US"/>
        </w:rPr>
        <w:t xml:space="preserve">relevant </w:t>
      </w:r>
      <w:r w:rsidR="00815205">
        <w:rPr>
          <w:lang w:val="en-US"/>
        </w:rPr>
        <w:t>meetings whenever possible</w:t>
      </w:r>
      <w:r w:rsidR="00D2134C" w:rsidRPr="0000309C">
        <w:rPr>
          <w:lang w:val="en-US"/>
        </w:rPr>
        <w:t xml:space="preserve">. </w:t>
      </w:r>
    </w:p>
    <w:tbl>
      <w:tblPr>
        <w:tblStyle w:val="TableGrid"/>
        <w:tblW w:w="0" w:type="auto"/>
        <w:tblLook w:val="04A0" w:firstRow="1" w:lastRow="0" w:firstColumn="1" w:lastColumn="0" w:noHBand="0" w:noVBand="1"/>
      </w:tblPr>
      <w:tblGrid>
        <w:gridCol w:w="1271"/>
        <w:gridCol w:w="8074"/>
      </w:tblGrid>
      <w:tr w:rsidR="006B6952" w:rsidRPr="00F11FD9" w14:paraId="09CE0765" w14:textId="77777777" w:rsidTr="00A16024">
        <w:tc>
          <w:tcPr>
            <w:tcW w:w="1271" w:type="dxa"/>
            <w:vMerge w:val="restart"/>
          </w:tcPr>
          <w:p w14:paraId="063520EA" w14:textId="13277AA3" w:rsidR="006B6952" w:rsidRPr="009F4D63" w:rsidRDefault="006B6952">
            <w:pPr>
              <w:jc w:val="both"/>
              <w:rPr>
                <w:lang w:val="en-US"/>
              </w:rPr>
            </w:pPr>
            <w:r>
              <w:rPr>
                <w:lang w:val="en-US"/>
              </w:rPr>
              <w:t xml:space="preserve">Example </w:t>
            </w:r>
            <w:r w:rsidRPr="009F4D63">
              <w:rPr>
                <w:lang w:val="en-US"/>
              </w:rPr>
              <w:t>Activities proposed:</w:t>
            </w:r>
          </w:p>
        </w:tc>
        <w:tc>
          <w:tcPr>
            <w:tcW w:w="8074" w:type="dxa"/>
          </w:tcPr>
          <w:p w14:paraId="3F3C5D24" w14:textId="3E7C90F7" w:rsidR="006B6952" w:rsidRPr="003F4A15" w:rsidRDefault="006B6952" w:rsidP="00A16024">
            <w:pPr>
              <w:jc w:val="both"/>
              <w:rPr>
                <w:lang w:val="en-US"/>
              </w:rPr>
            </w:pPr>
            <w:r w:rsidRPr="003F4A15">
              <w:rPr>
                <w:lang w:val="en-US"/>
              </w:rPr>
              <w:t>Develop or update (sub</w:t>
            </w:r>
            <w:r w:rsidR="00815205">
              <w:rPr>
                <w:lang w:val="en-US"/>
              </w:rPr>
              <w:t>-</w:t>
            </w:r>
            <w:r w:rsidRPr="003F4A15">
              <w:rPr>
                <w:lang w:val="en-US"/>
              </w:rPr>
              <w:t xml:space="preserve">)regional strategies or roadmaps for each of the priority TADs, based on existing frameworks at global level (ASF, FMD, PPR, </w:t>
            </w:r>
            <w:r w:rsidR="00815205">
              <w:rPr>
                <w:lang w:val="en-US"/>
              </w:rPr>
              <w:t xml:space="preserve">and others such as </w:t>
            </w:r>
            <w:r w:rsidRPr="003F4A15">
              <w:rPr>
                <w:lang w:val="en-US"/>
              </w:rPr>
              <w:t xml:space="preserve">HPAI </w:t>
            </w:r>
            <w:r w:rsidR="00815205">
              <w:rPr>
                <w:lang w:val="en-US"/>
              </w:rPr>
              <w:t>when</w:t>
            </w:r>
            <w:r w:rsidRPr="003F4A15">
              <w:rPr>
                <w:lang w:val="en-US"/>
              </w:rPr>
              <w:t xml:space="preserve"> developed) and provide inputs to global frameworks</w:t>
            </w:r>
          </w:p>
        </w:tc>
      </w:tr>
      <w:tr w:rsidR="006B6952" w:rsidRPr="00F11FD9" w14:paraId="70FDC9C5" w14:textId="77777777" w:rsidTr="00A16024">
        <w:tc>
          <w:tcPr>
            <w:tcW w:w="1271" w:type="dxa"/>
            <w:vMerge/>
          </w:tcPr>
          <w:p w14:paraId="3FFE74F3" w14:textId="1E171A26" w:rsidR="006B6952" w:rsidRPr="009F4D63" w:rsidRDefault="006B6952" w:rsidP="00A16024">
            <w:pPr>
              <w:pStyle w:val="ListParagraph"/>
              <w:jc w:val="both"/>
              <w:rPr>
                <w:lang w:val="en-US"/>
              </w:rPr>
            </w:pPr>
          </w:p>
        </w:tc>
        <w:tc>
          <w:tcPr>
            <w:tcW w:w="8074" w:type="dxa"/>
          </w:tcPr>
          <w:p w14:paraId="1FD95E27" w14:textId="4BD22660" w:rsidR="006B6952" w:rsidRPr="003F4A15" w:rsidRDefault="006B6952" w:rsidP="00A16024">
            <w:pPr>
              <w:jc w:val="both"/>
              <w:rPr>
                <w:lang w:val="en-US"/>
              </w:rPr>
            </w:pPr>
            <w:r w:rsidRPr="003F4A15">
              <w:rPr>
                <w:lang w:val="en-US"/>
              </w:rPr>
              <w:t xml:space="preserve">In the absence of formulated </w:t>
            </w:r>
            <w:r w:rsidR="00C138B8">
              <w:rPr>
                <w:lang w:val="en-US"/>
              </w:rPr>
              <w:t xml:space="preserve">global </w:t>
            </w:r>
            <w:r w:rsidRPr="003F4A15">
              <w:rPr>
                <w:lang w:val="en-US"/>
              </w:rPr>
              <w:t>strategies (Rabies for oral vaccination</w:t>
            </w:r>
            <w:r w:rsidR="00815205">
              <w:rPr>
                <w:lang w:val="en-US"/>
              </w:rPr>
              <w:t xml:space="preserve"> of wildlife</w:t>
            </w:r>
            <w:r w:rsidRPr="003F4A15">
              <w:rPr>
                <w:lang w:val="en-US"/>
              </w:rPr>
              <w:t xml:space="preserve">, LSD, HPAI </w:t>
            </w:r>
            <w:r w:rsidR="00815205">
              <w:rPr>
                <w:lang w:val="en-US"/>
              </w:rPr>
              <w:t>until</w:t>
            </w:r>
            <w:r w:rsidR="00815205" w:rsidRPr="003F4A15">
              <w:rPr>
                <w:lang w:val="en-US"/>
              </w:rPr>
              <w:t xml:space="preserve"> </w:t>
            </w:r>
            <w:r w:rsidRPr="003F4A15">
              <w:rPr>
                <w:lang w:val="en-US"/>
              </w:rPr>
              <w:t xml:space="preserve">global strategy is being developed), consolidate recommendations taking into account best practices </w:t>
            </w:r>
            <w:r w:rsidR="00815205">
              <w:rPr>
                <w:lang w:val="en-US"/>
              </w:rPr>
              <w:t xml:space="preserve">and experience at national or sub-regional level, </w:t>
            </w:r>
            <w:r w:rsidRPr="003F4A15">
              <w:rPr>
                <w:lang w:val="en-US"/>
              </w:rPr>
              <w:t>and international standards</w:t>
            </w:r>
          </w:p>
        </w:tc>
      </w:tr>
    </w:tbl>
    <w:p w14:paraId="09FF4A2E" w14:textId="77777777" w:rsidR="00594241" w:rsidRPr="0000309C" w:rsidRDefault="00594241" w:rsidP="00391EF3">
      <w:pPr>
        <w:pStyle w:val="Heading2"/>
        <w:numPr>
          <w:ilvl w:val="1"/>
          <w:numId w:val="3"/>
        </w:numPr>
        <w:jc w:val="both"/>
        <w:rPr>
          <w:lang w:val="en-US"/>
        </w:rPr>
      </w:pPr>
      <w:r w:rsidRPr="0000309C">
        <w:rPr>
          <w:lang w:val="en-US"/>
        </w:rPr>
        <w:t>Mechanisms for harmonized / coordinated planning are established</w:t>
      </w:r>
    </w:p>
    <w:p w14:paraId="200B2FDD" w14:textId="77777777" w:rsidR="00357EE2" w:rsidRPr="0000309C" w:rsidRDefault="00357EE2" w:rsidP="00391EF3">
      <w:pPr>
        <w:jc w:val="both"/>
        <w:rPr>
          <w:lang w:val="en-US"/>
        </w:rPr>
      </w:pPr>
    </w:p>
    <w:p w14:paraId="6202F83E" w14:textId="09056902" w:rsidR="00155A83" w:rsidRPr="0000309C" w:rsidRDefault="003259AE" w:rsidP="00391EF3">
      <w:pPr>
        <w:jc w:val="both"/>
        <w:rPr>
          <w:lang w:val="en-US"/>
        </w:rPr>
      </w:pPr>
      <w:r w:rsidRPr="0000309C">
        <w:rPr>
          <w:lang w:val="en-US"/>
        </w:rPr>
        <w:t xml:space="preserve">Coordinated planning is important to avoid overlapping </w:t>
      </w:r>
      <w:r w:rsidR="00815205">
        <w:rPr>
          <w:lang w:val="en-US"/>
        </w:rPr>
        <w:t xml:space="preserve">of </w:t>
      </w:r>
      <w:r w:rsidRPr="0000309C">
        <w:rPr>
          <w:lang w:val="en-US"/>
        </w:rPr>
        <w:t xml:space="preserve">activities as well as a complete lack of activities in priority </w:t>
      </w:r>
      <w:r w:rsidR="00815205">
        <w:rPr>
          <w:lang w:val="en-US"/>
        </w:rPr>
        <w:t>areas</w:t>
      </w:r>
      <w:r w:rsidRPr="0000309C">
        <w:rPr>
          <w:lang w:val="en-US"/>
        </w:rPr>
        <w:t xml:space="preserve">. </w:t>
      </w:r>
      <w:r w:rsidR="00815205">
        <w:rPr>
          <w:lang w:val="en-US"/>
        </w:rPr>
        <w:t xml:space="preserve">Therefore, </w:t>
      </w:r>
    </w:p>
    <w:p w14:paraId="7527F1B6" w14:textId="46307D78" w:rsidR="003F55B4" w:rsidRPr="0000309C" w:rsidRDefault="00450778" w:rsidP="00391EF3">
      <w:pPr>
        <w:pStyle w:val="ListParagraph"/>
        <w:numPr>
          <w:ilvl w:val="0"/>
          <w:numId w:val="7"/>
        </w:numPr>
        <w:jc w:val="both"/>
        <w:rPr>
          <w:lang w:val="en-US"/>
        </w:rPr>
      </w:pPr>
      <w:r w:rsidRPr="0000309C">
        <w:rPr>
          <w:u w:val="single"/>
          <w:lang w:val="en-US"/>
        </w:rPr>
        <w:t xml:space="preserve">all </w:t>
      </w:r>
      <w:r w:rsidR="007253BC">
        <w:rPr>
          <w:u w:val="single"/>
          <w:lang w:val="en-US"/>
        </w:rPr>
        <w:t>partners</w:t>
      </w:r>
      <w:r w:rsidR="007253BC" w:rsidRPr="0000309C">
        <w:rPr>
          <w:u w:val="single"/>
          <w:lang w:val="en-US"/>
        </w:rPr>
        <w:t xml:space="preserve"> </w:t>
      </w:r>
      <w:r w:rsidRPr="0000309C">
        <w:rPr>
          <w:u w:val="single"/>
          <w:lang w:val="en-US"/>
        </w:rPr>
        <w:t xml:space="preserve">must agree on a </w:t>
      </w:r>
      <w:r w:rsidR="006509CF" w:rsidRPr="0000309C">
        <w:rPr>
          <w:u w:val="single"/>
          <w:lang w:val="en-US"/>
        </w:rPr>
        <w:t>shared approach</w:t>
      </w:r>
      <w:r w:rsidR="006F49D1" w:rsidRPr="0000309C">
        <w:rPr>
          <w:lang w:val="en-US"/>
        </w:rPr>
        <w:t xml:space="preserve">; this </w:t>
      </w:r>
      <w:r w:rsidR="002C7BB2" w:rsidRPr="0000309C">
        <w:rPr>
          <w:lang w:val="en-US"/>
        </w:rPr>
        <w:t>consensus</w:t>
      </w:r>
      <w:r w:rsidR="00BA7E47" w:rsidRPr="0000309C">
        <w:rPr>
          <w:lang w:val="en-US"/>
        </w:rPr>
        <w:t>-</w:t>
      </w:r>
      <w:r w:rsidR="002C7BB2" w:rsidRPr="0000309C">
        <w:rPr>
          <w:lang w:val="en-US"/>
        </w:rPr>
        <w:t xml:space="preserve">based approach is demanding but </w:t>
      </w:r>
      <w:r w:rsidR="00F6650E" w:rsidRPr="0000309C">
        <w:rPr>
          <w:lang w:val="en-US"/>
        </w:rPr>
        <w:t xml:space="preserve">necessary to build understanding and </w:t>
      </w:r>
      <w:r w:rsidR="00E74C28" w:rsidRPr="0000309C">
        <w:rPr>
          <w:lang w:val="en-US"/>
        </w:rPr>
        <w:t>acceptance of the importance of common goals.</w:t>
      </w:r>
      <w:r w:rsidR="0076436D" w:rsidRPr="0000309C">
        <w:rPr>
          <w:lang w:val="en-US"/>
        </w:rPr>
        <w:t xml:space="preserve"> </w:t>
      </w:r>
      <w:r w:rsidR="005A4ED6" w:rsidRPr="0000309C">
        <w:rPr>
          <w:lang w:val="en-US"/>
        </w:rPr>
        <w:t xml:space="preserve">Consensus is built </w:t>
      </w:r>
      <w:r w:rsidR="00F42BBC" w:rsidRPr="0000309C">
        <w:rPr>
          <w:lang w:val="en-US"/>
        </w:rPr>
        <w:t>inside groups of experts and Delegates</w:t>
      </w:r>
      <w:r w:rsidR="007253BC">
        <w:rPr>
          <w:lang w:val="en-US"/>
        </w:rPr>
        <w:t xml:space="preserve">, along with </w:t>
      </w:r>
      <w:r w:rsidR="00532B73">
        <w:rPr>
          <w:lang w:val="en-US"/>
        </w:rPr>
        <w:t>trust</w:t>
      </w:r>
      <w:r w:rsidR="007253BC">
        <w:rPr>
          <w:lang w:val="en-US"/>
        </w:rPr>
        <w:t xml:space="preserve"> and transparency on who intends to do what</w:t>
      </w:r>
      <w:r w:rsidR="00860962">
        <w:rPr>
          <w:lang w:val="en-US"/>
        </w:rPr>
        <w:t>,</w:t>
      </w:r>
      <w:r w:rsidR="00860962" w:rsidRPr="0000309C">
        <w:rPr>
          <w:lang w:val="en-US"/>
        </w:rPr>
        <w:t xml:space="preserve"> </w:t>
      </w:r>
    </w:p>
    <w:p w14:paraId="3EC9DFB7" w14:textId="77777777" w:rsidR="0076436D" w:rsidRPr="0000309C" w:rsidRDefault="0076436D" w:rsidP="00391EF3">
      <w:pPr>
        <w:pStyle w:val="ListParagraph"/>
        <w:jc w:val="both"/>
        <w:rPr>
          <w:lang w:val="en-US"/>
        </w:rPr>
      </w:pPr>
    </w:p>
    <w:p w14:paraId="375D1E6D" w14:textId="7866E722" w:rsidR="00207B10" w:rsidRPr="0000309C" w:rsidRDefault="006509CF" w:rsidP="00391EF3">
      <w:pPr>
        <w:pStyle w:val="ListParagraph"/>
        <w:numPr>
          <w:ilvl w:val="0"/>
          <w:numId w:val="7"/>
        </w:numPr>
        <w:jc w:val="both"/>
        <w:rPr>
          <w:u w:val="single"/>
          <w:lang w:val="en-US"/>
        </w:rPr>
      </w:pPr>
      <w:r w:rsidRPr="0000309C">
        <w:rPr>
          <w:u w:val="single"/>
          <w:lang w:val="en-US"/>
        </w:rPr>
        <w:t>there are specific coordination mechanisms</w:t>
      </w:r>
      <w:r w:rsidR="004F399B" w:rsidRPr="0000309C">
        <w:rPr>
          <w:u w:val="single"/>
          <w:lang w:val="en-US"/>
        </w:rPr>
        <w:t>;</w:t>
      </w:r>
      <w:r w:rsidR="004F399B" w:rsidRPr="0000309C">
        <w:rPr>
          <w:lang w:val="en-US"/>
        </w:rPr>
        <w:t xml:space="preserve"> this is necessary to keep the dynamics and ensure </w:t>
      </w:r>
      <w:r w:rsidR="004669D8" w:rsidRPr="0000309C">
        <w:rPr>
          <w:lang w:val="en-US"/>
        </w:rPr>
        <w:t>adequate and timely</w:t>
      </w:r>
      <w:r w:rsidR="003A71A2" w:rsidRPr="0000309C">
        <w:rPr>
          <w:lang w:val="en-US"/>
        </w:rPr>
        <w:t xml:space="preserve"> </w:t>
      </w:r>
      <w:r w:rsidR="00D65823" w:rsidRPr="0000309C">
        <w:rPr>
          <w:lang w:val="en-US"/>
        </w:rPr>
        <w:t xml:space="preserve">interaction </w:t>
      </w:r>
      <w:r w:rsidR="004669D8" w:rsidRPr="0000309C">
        <w:rPr>
          <w:lang w:val="en-US"/>
        </w:rPr>
        <w:t>between members</w:t>
      </w:r>
      <w:r w:rsidR="00815205">
        <w:rPr>
          <w:lang w:val="en-US"/>
        </w:rPr>
        <w:t xml:space="preserve"> of the RSC</w:t>
      </w:r>
      <w:r w:rsidR="004669D8" w:rsidRPr="0000309C">
        <w:rPr>
          <w:lang w:val="en-US"/>
        </w:rPr>
        <w:t xml:space="preserve">. </w:t>
      </w:r>
      <w:r w:rsidR="00207B10" w:rsidRPr="0000309C">
        <w:rPr>
          <w:lang w:val="en-US"/>
        </w:rPr>
        <w:t>Coordination happens on two levels:</w:t>
      </w:r>
    </w:p>
    <w:p w14:paraId="0A64FA77" w14:textId="77777777" w:rsidR="00207B10" w:rsidRPr="0000309C" w:rsidRDefault="00207B10" w:rsidP="00CD4558">
      <w:pPr>
        <w:pStyle w:val="ListParagraph"/>
        <w:rPr>
          <w:lang w:val="en-US"/>
        </w:rPr>
      </w:pPr>
    </w:p>
    <w:p w14:paraId="475CC120" w14:textId="31269767" w:rsidR="008B7C7D" w:rsidRPr="0000309C" w:rsidRDefault="00F005FE" w:rsidP="00207B10">
      <w:pPr>
        <w:pStyle w:val="ListParagraph"/>
        <w:numPr>
          <w:ilvl w:val="1"/>
          <w:numId w:val="7"/>
        </w:numPr>
        <w:jc w:val="both"/>
        <w:rPr>
          <w:u w:val="single"/>
          <w:lang w:val="en-US"/>
        </w:rPr>
      </w:pPr>
      <w:r w:rsidRPr="0000309C">
        <w:rPr>
          <w:lang w:val="en-US"/>
        </w:rPr>
        <w:t>Working</w:t>
      </w:r>
      <w:r w:rsidR="00207B10" w:rsidRPr="0000309C">
        <w:rPr>
          <w:lang w:val="en-US"/>
        </w:rPr>
        <w:t xml:space="preserve"> groups includ</w:t>
      </w:r>
      <w:r w:rsidRPr="0000309C">
        <w:rPr>
          <w:lang w:val="en-US"/>
        </w:rPr>
        <w:t>ing</w:t>
      </w:r>
      <w:r w:rsidR="00207B10" w:rsidRPr="0000309C">
        <w:rPr>
          <w:lang w:val="en-US"/>
        </w:rPr>
        <w:t xml:space="preserve"> the </w:t>
      </w:r>
      <w:r w:rsidR="00815205">
        <w:rPr>
          <w:lang w:val="en-US"/>
        </w:rPr>
        <w:t>RAGs</w:t>
      </w:r>
      <w:r w:rsidR="00344E11">
        <w:rPr>
          <w:lang w:val="en-US"/>
        </w:rPr>
        <w:t xml:space="preserve"> and</w:t>
      </w:r>
      <w:r w:rsidR="00207B10" w:rsidRPr="0000309C">
        <w:rPr>
          <w:lang w:val="en-US"/>
        </w:rPr>
        <w:t xml:space="preserve"> Standing Groups of </w:t>
      </w:r>
      <w:r w:rsidR="00344E11">
        <w:rPr>
          <w:lang w:val="en-US"/>
        </w:rPr>
        <w:t>E</w:t>
      </w:r>
      <w:r w:rsidR="00207B10" w:rsidRPr="0000309C">
        <w:rPr>
          <w:lang w:val="en-US"/>
        </w:rPr>
        <w:t>xperts</w:t>
      </w:r>
      <w:r w:rsidR="00344E11">
        <w:rPr>
          <w:lang w:val="en-US"/>
        </w:rPr>
        <w:t>,</w:t>
      </w:r>
      <w:r w:rsidR="0086228F" w:rsidRPr="0000309C">
        <w:rPr>
          <w:lang w:val="en-US"/>
        </w:rPr>
        <w:t xml:space="preserve"> </w:t>
      </w:r>
      <w:r w:rsidR="00207B10" w:rsidRPr="0000309C">
        <w:rPr>
          <w:lang w:val="en-US"/>
        </w:rPr>
        <w:t>where proposals are discussed, and recommendations made for the region</w:t>
      </w:r>
      <w:r w:rsidR="00C138B8">
        <w:rPr>
          <w:lang w:val="en-US"/>
        </w:rPr>
        <w:t xml:space="preserve"> or sub-region</w:t>
      </w:r>
      <w:r w:rsidR="00860962">
        <w:rPr>
          <w:lang w:val="en-US"/>
        </w:rPr>
        <w:t>,</w:t>
      </w:r>
      <w:r w:rsidR="00860962" w:rsidRPr="0000309C">
        <w:rPr>
          <w:lang w:val="en-US"/>
        </w:rPr>
        <w:t xml:space="preserve"> </w:t>
      </w:r>
    </w:p>
    <w:p w14:paraId="346F7632" w14:textId="6F4B40BF" w:rsidR="003F55B4" w:rsidRPr="0000309C" w:rsidRDefault="00CE355F" w:rsidP="00CD4558">
      <w:pPr>
        <w:pStyle w:val="ListParagraph"/>
        <w:numPr>
          <w:ilvl w:val="1"/>
          <w:numId w:val="7"/>
        </w:numPr>
        <w:jc w:val="both"/>
        <w:rPr>
          <w:u w:val="single"/>
          <w:lang w:val="en-US"/>
        </w:rPr>
      </w:pPr>
      <w:r w:rsidRPr="0000309C">
        <w:rPr>
          <w:lang w:val="en-US"/>
        </w:rPr>
        <w:t xml:space="preserve">Between groups, </w:t>
      </w:r>
      <w:r w:rsidR="00FB4049" w:rsidRPr="0000309C">
        <w:rPr>
          <w:lang w:val="en-US"/>
        </w:rPr>
        <w:t>the mechani</w:t>
      </w:r>
      <w:r w:rsidR="00344E11">
        <w:rPr>
          <w:lang w:val="en-US"/>
        </w:rPr>
        <w:t>sm</w:t>
      </w:r>
      <w:r w:rsidR="00FB4049" w:rsidRPr="0000309C">
        <w:rPr>
          <w:lang w:val="en-US"/>
        </w:rPr>
        <w:t xml:space="preserve"> of coordination is </w:t>
      </w:r>
      <w:r w:rsidR="00344E11">
        <w:rPr>
          <w:lang w:val="en-US"/>
        </w:rPr>
        <w:t>facilitated</w:t>
      </w:r>
      <w:r w:rsidR="00344E11" w:rsidRPr="0000309C">
        <w:rPr>
          <w:lang w:val="en-US"/>
        </w:rPr>
        <w:t xml:space="preserve"> </w:t>
      </w:r>
      <w:r w:rsidR="00FB4049" w:rsidRPr="0000309C">
        <w:rPr>
          <w:lang w:val="en-US"/>
        </w:rPr>
        <w:t xml:space="preserve">by </w:t>
      </w:r>
      <w:r w:rsidR="00A06ECC" w:rsidRPr="0000309C">
        <w:rPr>
          <w:lang w:val="en-US"/>
        </w:rPr>
        <w:t>the Secretariat</w:t>
      </w:r>
      <w:r w:rsidR="00344E11" w:rsidRPr="00C138B8">
        <w:rPr>
          <w:lang w:val="en-IE"/>
        </w:rPr>
        <w:t xml:space="preserve"> </w:t>
      </w:r>
      <w:r w:rsidR="00344E11" w:rsidRPr="00344E11">
        <w:rPr>
          <w:lang w:val="en-US"/>
        </w:rPr>
        <w:t>in close coordination with the President of the RSC</w:t>
      </w:r>
      <w:r w:rsidR="00344E11">
        <w:rPr>
          <w:lang w:val="en-US"/>
        </w:rPr>
        <w:t>. The Secretariat</w:t>
      </w:r>
      <w:r w:rsidR="004669D8" w:rsidRPr="0000309C">
        <w:rPr>
          <w:lang w:val="en-US"/>
        </w:rPr>
        <w:t xml:space="preserve"> </w:t>
      </w:r>
      <w:r w:rsidR="00344E11">
        <w:rPr>
          <w:lang w:val="en-US"/>
        </w:rPr>
        <w:t xml:space="preserve">is </w:t>
      </w:r>
      <w:r w:rsidR="004669D8" w:rsidRPr="0000309C">
        <w:rPr>
          <w:lang w:val="en-US"/>
        </w:rPr>
        <w:t xml:space="preserve">in charge of </w:t>
      </w:r>
      <w:r w:rsidR="006B5090" w:rsidRPr="0000309C">
        <w:rPr>
          <w:lang w:val="en-US"/>
        </w:rPr>
        <w:t xml:space="preserve">following the calendar of events, </w:t>
      </w:r>
      <w:r w:rsidR="006A0BD6" w:rsidRPr="0000309C">
        <w:rPr>
          <w:lang w:val="en-US"/>
        </w:rPr>
        <w:t>drafting reports</w:t>
      </w:r>
      <w:r w:rsidR="006D3088" w:rsidRPr="0000309C">
        <w:rPr>
          <w:lang w:val="en-US"/>
        </w:rPr>
        <w:t xml:space="preserve">, and </w:t>
      </w:r>
      <w:r w:rsidR="006B5090" w:rsidRPr="0000309C">
        <w:rPr>
          <w:lang w:val="en-US"/>
        </w:rPr>
        <w:t xml:space="preserve">organizing </w:t>
      </w:r>
      <w:r w:rsidR="00EA000D">
        <w:rPr>
          <w:lang w:val="en-US"/>
        </w:rPr>
        <w:t xml:space="preserve">meetings </w:t>
      </w:r>
      <w:r w:rsidR="006B5090" w:rsidRPr="0000309C">
        <w:rPr>
          <w:lang w:val="en-US"/>
        </w:rPr>
        <w:t xml:space="preserve">working groups, </w:t>
      </w:r>
      <w:r w:rsidR="000B6748" w:rsidRPr="0000309C">
        <w:rPr>
          <w:lang w:val="en-US"/>
        </w:rPr>
        <w:t>such as the ones mentioned above and the roadmap mechanisms</w:t>
      </w:r>
      <w:r w:rsidR="00860962">
        <w:rPr>
          <w:lang w:val="en-US"/>
        </w:rPr>
        <w:t>,</w:t>
      </w:r>
    </w:p>
    <w:p w14:paraId="192E513B" w14:textId="77777777" w:rsidR="003F55B4" w:rsidRPr="0000309C" w:rsidRDefault="003F55B4" w:rsidP="00391EF3">
      <w:pPr>
        <w:pStyle w:val="ListParagraph"/>
        <w:jc w:val="both"/>
        <w:rPr>
          <w:lang w:val="en-US"/>
        </w:rPr>
      </w:pPr>
    </w:p>
    <w:p w14:paraId="0CA4F950" w14:textId="1DD0CB75" w:rsidR="009E4006" w:rsidRPr="00A16024" w:rsidRDefault="006509CF" w:rsidP="009E4006">
      <w:pPr>
        <w:pStyle w:val="ListParagraph"/>
        <w:numPr>
          <w:ilvl w:val="0"/>
          <w:numId w:val="7"/>
        </w:numPr>
        <w:jc w:val="both"/>
        <w:rPr>
          <w:u w:val="single"/>
          <w:lang w:val="en-US"/>
        </w:rPr>
      </w:pPr>
      <w:r w:rsidRPr="0000309C">
        <w:rPr>
          <w:u w:val="single"/>
          <w:lang w:val="en-US"/>
        </w:rPr>
        <w:t xml:space="preserve">the </w:t>
      </w:r>
      <w:r w:rsidR="00ED6DA8" w:rsidRPr="0000309C">
        <w:rPr>
          <w:u w:val="single"/>
          <w:lang w:val="en-US"/>
        </w:rPr>
        <w:t xml:space="preserve">governance </w:t>
      </w:r>
      <w:r w:rsidRPr="0000309C">
        <w:rPr>
          <w:u w:val="single"/>
          <w:lang w:val="en-US"/>
        </w:rPr>
        <w:t xml:space="preserve">bodies </w:t>
      </w:r>
      <w:r w:rsidR="00ED6DA8" w:rsidRPr="0000309C">
        <w:rPr>
          <w:u w:val="single"/>
          <w:lang w:val="en-US"/>
        </w:rPr>
        <w:t xml:space="preserve">of the regional </w:t>
      </w:r>
      <w:r w:rsidR="00344E11">
        <w:rPr>
          <w:u w:val="single"/>
          <w:lang w:val="en-US"/>
        </w:rPr>
        <w:t>GF-</w:t>
      </w:r>
      <w:r w:rsidR="00ED6DA8" w:rsidRPr="0000309C">
        <w:rPr>
          <w:u w:val="single"/>
          <w:lang w:val="en-US"/>
        </w:rPr>
        <w:t xml:space="preserve">TADs monitor </w:t>
      </w:r>
      <w:r w:rsidR="003F55B4" w:rsidRPr="0000309C">
        <w:rPr>
          <w:u w:val="single"/>
          <w:lang w:val="en-US"/>
        </w:rPr>
        <w:t xml:space="preserve">the implementation of the </w:t>
      </w:r>
      <w:r w:rsidR="005F2726">
        <w:rPr>
          <w:u w:val="single"/>
          <w:lang w:val="en-US"/>
        </w:rPr>
        <w:t>A</w:t>
      </w:r>
      <w:r w:rsidR="003F55B4" w:rsidRPr="0000309C">
        <w:rPr>
          <w:u w:val="single"/>
          <w:lang w:val="en-US"/>
        </w:rPr>
        <w:t xml:space="preserve">ction </w:t>
      </w:r>
      <w:r w:rsidR="005F2726">
        <w:rPr>
          <w:u w:val="single"/>
          <w:lang w:val="en-US"/>
        </w:rPr>
        <w:t>P</w:t>
      </w:r>
      <w:r w:rsidR="003F55B4" w:rsidRPr="0000309C">
        <w:rPr>
          <w:u w:val="single"/>
          <w:lang w:val="en-US"/>
        </w:rPr>
        <w:t>lan</w:t>
      </w:r>
      <w:r w:rsidR="00955B19" w:rsidRPr="0000309C">
        <w:rPr>
          <w:lang w:val="en-US"/>
        </w:rPr>
        <w:t xml:space="preserve">; the governance is essential in setting the direction of </w:t>
      </w:r>
      <w:r w:rsidR="00C24B2B" w:rsidRPr="0000309C">
        <w:rPr>
          <w:lang w:val="en-US"/>
        </w:rPr>
        <w:t xml:space="preserve">action, discussing priorities, </w:t>
      </w:r>
      <w:r w:rsidR="00344E11">
        <w:rPr>
          <w:lang w:val="en-US"/>
        </w:rPr>
        <w:t xml:space="preserve">amending the Action Plan </w:t>
      </w:r>
      <w:r w:rsidR="00C138B8">
        <w:rPr>
          <w:lang w:val="en-US"/>
        </w:rPr>
        <w:t xml:space="preserve">or list of priority diseases </w:t>
      </w:r>
      <w:r w:rsidR="00344E11">
        <w:rPr>
          <w:lang w:val="en-US"/>
        </w:rPr>
        <w:t xml:space="preserve">as needed, </w:t>
      </w:r>
      <w:r w:rsidR="00C24B2B" w:rsidRPr="0000309C">
        <w:rPr>
          <w:lang w:val="en-US"/>
        </w:rPr>
        <w:t xml:space="preserve">and assessing the results. </w:t>
      </w:r>
      <w:r w:rsidR="00344E11">
        <w:rPr>
          <w:lang w:val="en-US"/>
        </w:rPr>
        <w:t xml:space="preserve">This </w:t>
      </w:r>
      <w:r w:rsidR="00C24B2B" w:rsidRPr="0000309C">
        <w:rPr>
          <w:lang w:val="en-US"/>
        </w:rPr>
        <w:t xml:space="preserve">is the task of the Regional Steering Committee. </w:t>
      </w:r>
    </w:p>
    <w:tbl>
      <w:tblPr>
        <w:tblStyle w:val="TableGrid"/>
        <w:tblW w:w="0" w:type="auto"/>
        <w:tblLook w:val="04A0" w:firstRow="1" w:lastRow="0" w:firstColumn="1" w:lastColumn="0" w:noHBand="0" w:noVBand="1"/>
      </w:tblPr>
      <w:tblGrid>
        <w:gridCol w:w="1271"/>
        <w:gridCol w:w="8074"/>
      </w:tblGrid>
      <w:tr w:rsidR="003F4A15" w:rsidRPr="00F11FD9" w14:paraId="21DA2AAE" w14:textId="77777777">
        <w:tc>
          <w:tcPr>
            <w:tcW w:w="1271" w:type="dxa"/>
            <w:vMerge w:val="restart"/>
          </w:tcPr>
          <w:p w14:paraId="7500D41C" w14:textId="77777777" w:rsidR="003F4A15" w:rsidRPr="009F4D63" w:rsidRDefault="003F4A15">
            <w:pPr>
              <w:jc w:val="both"/>
              <w:rPr>
                <w:lang w:val="en-US"/>
              </w:rPr>
            </w:pPr>
            <w:r>
              <w:rPr>
                <w:lang w:val="en-US"/>
              </w:rPr>
              <w:t xml:space="preserve">Example </w:t>
            </w:r>
            <w:r w:rsidRPr="009F4D63">
              <w:rPr>
                <w:lang w:val="en-US"/>
              </w:rPr>
              <w:t>Activities proposed:</w:t>
            </w:r>
          </w:p>
        </w:tc>
        <w:tc>
          <w:tcPr>
            <w:tcW w:w="8074" w:type="dxa"/>
          </w:tcPr>
          <w:p w14:paraId="3BD62870" w14:textId="54E8A4C0" w:rsidR="003F4A15" w:rsidRPr="00A65724" w:rsidRDefault="000870C2">
            <w:pPr>
              <w:jc w:val="both"/>
              <w:rPr>
                <w:lang w:val="en-US"/>
              </w:rPr>
            </w:pPr>
            <w:r>
              <w:rPr>
                <w:lang w:val="en-US"/>
              </w:rPr>
              <w:t>C</w:t>
            </w:r>
            <w:r w:rsidR="003F4A15" w:rsidRPr="00A65724">
              <w:rPr>
                <w:lang w:val="en-US"/>
              </w:rPr>
              <w:t>onsolidate workplans of GF-TADs partners on 12-24 months rolling basis, identifying responsibilities and GF-TADs labeling opportunities</w:t>
            </w:r>
            <w:r>
              <w:rPr>
                <w:lang w:val="en-US"/>
              </w:rPr>
              <w:t>.</w:t>
            </w:r>
          </w:p>
        </w:tc>
      </w:tr>
      <w:tr w:rsidR="003F4A15" w:rsidRPr="00F11FD9" w14:paraId="588728A4" w14:textId="77777777">
        <w:tc>
          <w:tcPr>
            <w:tcW w:w="1271" w:type="dxa"/>
            <w:vMerge/>
          </w:tcPr>
          <w:p w14:paraId="49A40E75" w14:textId="77777777" w:rsidR="003F4A15" w:rsidRPr="009F4D63" w:rsidRDefault="003F4A15">
            <w:pPr>
              <w:pStyle w:val="ListParagraph"/>
              <w:jc w:val="both"/>
              <w:rPr>
                <w:lang w:val="en-US"/>
              </w:rPr>
            </w:pPr>
          </w:p>
        </w:tc>
        <w:tc>
          <w:tcPr>
            <w:tcW w:w="8074" w:type="dxa"/>
          </w:tcPr>
          <w:p w14:paraId="35CB6FA7" w14:textId="76ABC6AE" w:rsidR="003F4A15" w:rsidRPr="00A65724" w:rsidRDefault="000870C2">
            <w:pPr>
              <w:jc w:val="both"/>
              <w:rPr>
                <w:lang w:val="en-US"/>
              </w:rPr>
            </w:pPr>
            <w:proofErr w:type="spellStart"/>
            <w:r>
              <w:rPr>
                <w:lang w:val="en-US"/>
              </w:rPr>
              <w:t>O</w:t>
            </w:r>
            <w:r w:rsidR="003F4A15" w:rsidRPr="00A65724">
              <w:rPr>
                <w:lang w:val="en-US"/>
              </w:rPr>
              <w:t>rganise</w:t>
            </w:r>
            <w:proofErr w:type="spellEnd"/>
            <w:r w:rsidR="003F4A15" w:rsidRPr="00A65724">
              <w:rPr>
                <w:lang w:val="en-US"/>
              </w:rPr>
              <w:t xml:space="preserve"> follow-up and regular update of workplans</w:t>
            </w:r>
            <w:r>
              <w:rPr>
                <w:lang w:val="en-US"/>
              </w:rPr>
              <w:t>.</w:t>
            </w:r>
          </w:p>
        </w:tc>
      </w:tr>
    </w:tbl>
    <w:p w14:paraId="3113CC49" w14:textId="77777777" w:rsidR="003F4A15" w:rsidRDefault="003F4A15" w:rsidP="009E4006">
      <w:pPr>
        <w:jc w:val="both"/>
        <w:rPr>
          <w:u w:val="single"/>
          <w:lang w:val="en-US"/>
        </w:rPr>
      </w:pPr>
    </w:p>
    <w:p w14:paraId="079F77EA" w14:textId="6E19F9C7" w:rsidR="00594241" w:rsidRPr="0000309C" w:rsidRDefault="00431AFE" w:rsidP="003E24F7">
      <w:pPr>
        <w:pStyle w:val="Heading1"/>
        <w:numPr>
          <w:ilvl w:val="0"/>
          <w:numId w:val="3"/>
        </w:numPr>
        <w:rPr>
          <w:lang w:val="en-US"/>
        </w:rPr>
      </w:pPr>
      <w:r>
        <w:rPr>
          <w:lang w:val="en-US"/>
        </w:rPr>
        <w:t>T</w:t>
      </w:r>
      <w:r w:rsidR="00594241" w:rsidRPr="0000309C">
        <w:rPr>
          <w:lang w:val="en-US"/>
        </w:rPr>
        <w:t>ools and actions</w:t>
      </w:r>
    </w:p>
    <w:p w14:paraId="52054167" w14:textId="759042EC" w:rsidR="00594241" w:rsidRPr="0000309C" w:rsidRDefault="00431AFE" w:rsidP="003E24F7">
      <w:pPr>
        <w:pStyle w:val="Heading2"/>
        <w:numPr>
          <w:ilvl w:val="1"/>
          <w:numId w:val="3"/>
        </w:numPr>
        <w:rPr>
          <w:lang w:val="en-US"/>
        </w:rPr>
      </w:pPr>
      <w:r>
        <w:rPr>
          <w:lang w:val="en-US"/>
        </w:rPr>
        <w:t>C</w:t>
      </w:r>
      <w:r w:rsidR="00594241" w:rsidRPr="0000309C">
        <w:rPr>
          <w:lang w:val="en-US"/>
        </w:rPr>
        <w:t>apacity gaps are identified and priorities for capacity building are addressed</w:t>
      </w:r>
    </w:p>
    <w:p w14:paraId="623BEDEF" w14:textId="77777777" w:rsidR="004645E1" w:rsidRPr="0000309C" w:rsidRDefault="004645E1" w:rsidP="004645E1">
      <w:pPr>
        <w:rPr>
          <w:lang w:val="en-US"/>
        </w:rPr>
      </w:pPr>
    </w:p>
    <w:p w14:paraId="16B21AD1" w14:textId="1B0F1A92" w:rsidR="00391EF3" w:rsidRPr="003357C9" w:rsidRDefault="00CC2A7F" w:rsidP="00391EF3">
      <w:pPr>
        <w:jc w:val="both"/>
        <w:rPr>
          <w:lang w:val="en-US"/>
        </w:rPr>
      </w:pPr>
      <w:r w:rsidRPr="36C17C6A">
        <w:rPr>
          <w:lang w:val="en-US"/>
        </w:rPr>
        <w:t>FAO and</w:t>
      </w:r>
      <w:r w:rsidR="00391EF3" w:rsidRPr="36C17C6A">
        <w:rPr>
          <w:lang w:val="en-US"/>
        </w:rPr>
        <w:t xml:space="preserve"> WOAH</w:t>
      </w:r>
      <w:r w:rsidR="00344E11" w:rsidRPr="36C17C6A">
        <w:rPr>
          <w:lang w:val="en-US"/>
        </w:rPr>
        <w:t xml:space="preserve">, </w:t>
      </w:r>
      <w:r w:rsidR="00391EF3" w:rsidRPr="36C17C6A">
        <w:rPr>
          <w:lang w:val="en-US"/>
        </w:rPr>
        <w:t xml:space="preserve">along with relevant regional partners, </w:t>
      </w:r>
      <w:r w:rsidRPr="36C17C6A">
        <w:rPr>
          <w:lang w:val="en-US"/>
        </w:rPr>
        <w:t>provide the tools and expertise to identify gaps</w:t>
      </w:r>
      <w:r w:rsidR="00374929" w:rsidRPr="36C17C6A">
        <w:rPr>
          <w:lang w:val="en-US"/>
        </w:rPr>
        <w:t>,</w:t>
      </w:r>
      <w:r w:rsidRPr="36C17C6A">
        <w:rPr>
          <w:lang w:val="en-US"/>
        </w:rPr>
        <w:t xml:space="preserve"> </w:t>
      </w:r>
      <w:r w:rsidR="00374929" w:rsidRPr="36C17C6A">
        <w:rPr>
          <w:lang w:val="en-US"/>
        </w:rPr>
        <w:t xml:space="preserve"> </w:t>
      </w:r>
      <w:r w:rsidR="00431AFE" w:rsidRPr="36C17C6A">
        <w:rPr>
          <w:lang w:val="en-US"/>
        </w:rPr>
        <w:t>needs</w:t>
      </w:r>
      <w:r w:rsidR="003357C9" w:rsidRPr="36C17C6A">
        <w:rPr>
          <w:lang w:val="en-US"/>
        </w:rPr>
        <w:t xml:space="preserve">, </w:t>
      </w:r>
      <w:r w:rsidR="00166293" w:rsidRPr="36C17C6A">
        <w:rPr>
          <w:lang w:val="en-US"/>
        </w:rPr>
        <w:t>strengths and opportunitie</w:t>
      </w:r>
      <w:r w:rsidR="006B5F28" w:rsidRPr="36C17C6A">
        <w:rPr>
          <w:lang w:val="en-US"/>
        </w:rPr>
        <w:t>s</w:t>
      </w:r>
      <w:r w:rsidR="00431AFE" w:rsidRPr="36C17C6A">
        <w:rPr>
          <w:lang w:val="en-US"/>
        </w:rPr>
        <w:t xml:space="preserve"> </w:t>
      </w:r>
      <w:r w:rsidRPr="36C17C6A">
        <w:rPr>
          <w:lang w:val="en-US"/>
        </w:rPr>
        <w:t xml:space="preserve">at regional </w:t>
      </w:r>
      <w:r w:rsidR="003066A1" w:rsidRPr="36C17C6A">
        <w:rPr>
          <w:lang w:val="en-US"/>
        </w:rPr>
        <w:t>and national level, including</w:t>
      </w:r>
      <w:r w:rsidR="00391EF3" w:rsidRPr="36C17C6A">
        <w:rPr>
          <w:lang w:val="en-US"/>
        </w:rPr>
        <w:t>:</w:t>
      </w:r>
    </w:p>
    <w:p w14:paraId="2FF0176D" w14:textId="1FCE7F2C" w:rsidR="00391EF3" w:rsidRPr="003357C9" w:rsidRDefault="00187ADD" w:rsidP="000E26E8">
      <w:pPr>
        <w:pStyle w:val="ListParagraph"/>
        <w:numPr>
          <w:ilvl w:val="0"/>
          <w:numId w:val="8"/>
        </w:numPr>
        <w:jc w:val="both"/>
        <w:rPr>
          <w:lang w:val="en-US"/>
        </w:rPr>
      </w:pPr>
      <w:r w:rsidRPr="003357C9">
        <w:rPr>
          <w:lang w:val="en-US"/>
        </w:rPr>
        <w:t>WOAH</w:t>
      </w:r>
      <w:r w:rsidR="003066A1" w:rsidRPr="003357C9">
        <w:rPr>
          <w:lang w:val="en-US"/>
        </w:rPr>
        <w:t xml:space="preserve"> </w:t>
      </w:r>
      <w:r w:rsidR="000E26E8" w:rsidRPr="003357C9">
        <w:rPr>
          <w:lang w:val="en-US"/>
        </w:rPr>
        <w:t>OIE Tool for the Evaluation of Performance of Veterinary Services (</w:t>
      </w:r>
      <w:r w:rsidR="003066A1" w:rsidRPr="003357C9">
        <w:rPr>
          <w:lang w:val="en-US"/>
        </w:rPr>
        <w:t>PVS</w:t>
      </w:r>
      <w:r w:rsidR="000E26E8" w:rsidRPr="003357C9">
        <w:rPr>
          <w:lang w:val="en-US"/>
        </w:rPr>
        <w:t>)</w:t>
      </w:r>
      <w:r w:rsidR="003066A1" w:rsidRPr="003357C9">
        <w:rPr>
          <w:lang w:val="en-US"/>
        </w:rPr>
        <w:t xml:space="preserve"> missions </w:t>
      </w:r>
      <w:r w:rsidR="00A36F06" w:rsidRPr="003357C9">
        <w:rPr>
          <w:lang w:val="en-US"/>
        </w:rPr>
        <w:t>in domains linked to the main TADs</w:t>
      </w:r>
      <w:r w:rsidR="00D06C6D" w:rsidRPr="003357C9">
        <w:rPr>
          <w:lang w:val="en-US"/>
        </w:rPr>
        <w:t xml:space="preserve">, </w:t>
      </w:r>
      <w:r w:rsidRPr="003357C9">
        <w:rPr>
          <w:lang w:val="en-US"/>
        </w:rPr>
        <w:t xml:space="preserve">FAO </w:t>
      </w:r>
      <w:r w:rsidR="00D06C6D" w:rsidRPr="003357C9">
        <w:rPr>
          <w:lang w:val="en-US"/>
        </w:rPr>
        <w:t>SET missions</w:t>
      </w:r>
      <w:r w:rsidRPr="003357C9">
        <w:rPr>
          <w:lang w:val="en-US"/>
        </w:rPr>
        <w:t xml:space="preserve"> (surveillance evaluation </w:t>
      </w:r>
      <w:r w:rsidR="00A06ECC" w:rsidRPr="003357C9">
        <w:rPr>
          <w:lang w:val="en-US"/>
        </w:rPr>
        <w:t>tool) and</w:t>
      </w:r>
      <w:r w:rsidRPr="003357C9">
        <w:rPr>
          <w:lang w:val="en-US"/>
        </w:rPr>
        <w:t xml:space="preserve"> FAO </w:t>
      </w:r>
      <w:r w:rsidR="001D38BF" w:rsidRPr="003357C9">
        <w:rPr>
          <w:lang w:val="en-US"/>
        </w:rPr>
        <w:t xml:space="preserve">lab mapping tool </w:t>
      </w:r>
      <w:r w:rsidRPr="003357C9">
        <w:rPr>
          <w:lang w:val="en-US"/>
        </w:rPr>
        <w:t>(</w:t>
      </w:r>
      <w:r w:rsidR="001D38BF" w:rsidRPr="003357C9">
        <w:rPr>
          <w:lang w:val="en-US"/>
        </w:rPr>
        <w:t>LMT</w:t>
      </w:r>
      <w:r w:rsidRPr="003357C9">
        <w:rPr>
          <w:lang w:val="en-US"/>
        </w:rPr>
        <w:t>)</w:t>
      </w:r>
      <w:r w:rsidR="00B224B9" w:rsidRPr="003357C9">
        <w:rPr>
          <w:lang w:val="en-US"/>
        </w:rPr>
        <w:t>,</w:t>
      </w:r>
    </w:p>
    <w:p w14:paraId="25127C16" w14:textId="2E478ABC" w:rsidR="00F45C8E" w:rsidRPr="00F45C8E" w:rsidRDefault="00802238" w:rsidP="00F45C8E">
      <w:pPr>
        <w:pStyle w:val="ListParagraph"/>
        <w:numPr>
          <w:ilvl w:val="0"/>
          <w:numId w:val="8"/>
        </w:numPr>
        <w:jc w:val="both"/>
        <w:rPr>
          <w:lang w:val="en-US"/>
        </w:rPr>
      </w:pPr>
      <w:r w:rsidRPr="36C17C6A">
        <w:rPr>
          <w:lang w:val="en-US"/>
        </w:rPr>
        <w:t>Country missions</w:t>
      </w:r>
      <w:r w:rsidR="005A0340" w:rsidRPr="36C17C6A">
        <w:rPr>
          <w:lang w:val="en-US"/>
        </w:rPr>
        <w:t xml:space="preserve"> can also </w:t>
      </w:r>
      <w:r w:rsidR="00431AFE" w:rsidRPr="36C17C6A">
        <w:rPr>
          <w:lang w:val="en-US"/>
        </w:rPr>
        <w:t>help</w:t>
      </w:r>
      <w:r w:rsidR="005A0340" w:rsidRPr="36C17C6A">
        <w:rPr>
          <w:lang w:val="en-US"/>
        </w:rPr>
        <w:t xml:space="preserve"> identif</w:t>
      </w:r>
      <w:r w:rsidR="00431AFE" w:rsidRPr="36C17C6A">
        <w:rPr>
          <w:lang w:val="en-US"/>
        </w:rPr>
        <w:t>ying</w:t>
      </w:r>
      <w:r w:rsidR="005A0340" w:rsidRPr="36C17C6A">
        <w:rPr>
          <w:lang w:val="en-US"/>
        </w:rPr>
        <w:t xml:space="preserve"> the main </w:t>
      </w:r>
      <w:r w:rsidR="00D015A6" w:rsidRPr="36C17C6A">
        <w:rPr>
          <w:lang w:val="en-US"/>
        </w:rPr>
        <w:t>gaps</w:t>
      </w:r>
      <w:r w:rsidR="00A76DB0" w:rsidRPr="36C17C6A">
        <w:rPr>
          <w:lang w:val="en-US"/>
        </w:rPr>
        <w:t xml:space="preserve"> related to on</w:t>
      </w:r>
      <w:r w:rsidR="00090EF4" w:rsidRPr="36C17C6A">
        <w:rPr>
          <w:lang w:val="en-US"/>
        </w:rPr>
        <w:t>e</w:t>
      </w:r>
      <w:r w:rsidR="00A76DB0" w:rsidRPr="36C17C6A">
        <w:rPr>
          <w:lang w:val="en-US"/>
        </w:rPr>
        <w:t xml:space="preserve"> of the priority diseases</w:t>
      </w:r>
      <w:r w:rsidR="00344E11" w:rsidRPr="36C17C6A">
        <w:rPr>
          <w:lang w:val="en-US"/>
        </w:rPr>
        <w:t>, such as joint FAO/WOAH Emergency Management Centre (</w:t>
      </w:r>
      <w:r w:rsidR="00A22765" w:rsidRPr="36C17C6A">
        <w:rPr>
          <w:lang w:val="en-US"/>
        </w:rPr>
        <w:t>EMC</w:t>
      </w:r>
      <w:r w:rsidR="00344E11" w:rsidRPr="36C17C6A">
        <w:rPr>
          <w:lang w:val="en-US"/>
        </w:rPr>
        <w:t>)</w:t>
      </w:r>
      <w:r w:rsidR="00A22765" w:rsidRPr="36C17C6A">
        <w:rPr>
          <w:lang w:val="en-US"/>
        </w:rPr>
        <w:t xml:space="preserve"> country missions</w:t>
      </w:r>
      <w:r w:rsidR="00431AFE" w:rsidRPr="36C17C6A">
        <w:rPr>
          <w:lang w:val="en-US"/>
        </w:rPr>
        <w:t>, Standing Group of Experts country missions</w:t>
      </w:r>
      <w:r w:rsidR="00344E11" w:rsidRPr="36C17C6A">
        <w:rPr>
          <w:lang w:val="en-US"/>
        </w:rPr>
        <w:t xml:space="preserve"> or </w:t>
      </w:r>
      <w:r w:rsidR="00A22765" w:rsidRPr="36C17C6A">
        <w:rPr>
          <w:lang w:val="en-US"/>
        </w:rPr>
        <w:t xml:space="preserve"> </w:t>
      </w:r>
      <w:r w:rsidR="00344E11" w:rsidRPr="36C17C6A">
        <w:rPr>
          <w:lang w:val="en-US"/>
        </w:rPr>
        <w:t>EUVET</w:t>
      </w:r>
      <w:r w:rsidR="00C65589" w:rsidRPr="36C17C6A">
        <w:rPr>
          <w:lang w:val="en-US"/>
        </w:rPr>
        <w:t xml:space="preserve"> (European Union Veterinary Emergency team)</w:t>
      </w:r>
      <w:r w:rsidR="00A22765" w:rsidRPr="36C17C6A">
        <w:rPr>
          <w:lang w:val="en-US"/>
        </w:rPr>
        <w:t xml:space="preserve"> country missions</w:t>
      </w:r>
      <w:r w:rsidR="003357C9" w:rsidRPr="36C17C6A">
        <w:rPr>
          <w:lang w:val="en-US"/>
        </w:rPr>
        <w:t>.</w:t>
      </w:r>
    </w:p>
    <w:p w14:paraId="17015871" w14:textId="7C47E155" w:rsidR="00CE7306" w:rsidRDefault="008D6A8B" w:rsidP="00B26EC5">
      <w:pPr>
        <w:jc w:val="both"/>
        <w:rPr>
          <w:lang w:val="en-US"/>
        </w:rPr>
      </w:pPr>
      <w:r w:rsidRPr="36C17C6A">
        <w:rPr>
          <w:lang w:val="en-US"/>
        </w:rPr>
        <w:t>Self-assessment</w:t>
      </w:r>
      <w:r w:rsidR="007C7D2D" w:rsidRPr="36C17C6A">
        <w:rPr>
          <w:lang w:val="en-US"/>
        </w:rPr>
        <w:t xml:space="preserve"> tools are </w:t>
      </w:r>
      <w:r w:rsidR="00D55B4B" w:rsidRPr="36C17C6A">
        <w:rPr>
          <w:lang w:val="en-US"/>
        </w:rPr>
        <w:t>used where available</w:t>
      </w:r>
      <w:r w:rsidRPr="36C17C6A">
        <w:rPr>
          <w:lang w:val="en-US"/>
        </w:rPr>
        <w:t xml:space="preserve">. </w:t>
      </w:r>
      <w:r w:rsidR="00623130" w:rsidRPr="36C17C6A">
        <w:rPr>
          <w:lang w:val="en-US"/>
        </w:rPr>
        <w:t xml:space="preserve">The correct description and weighting of these gaps </w:t>
      </w:r>
      <w:r w:rsidR="00431AFE" w:rsidRPr="36C17C6A">
        <w:rPr>
          <w:lang w:val="en-US"/>
        </w:rPr>
        <w:t xml:space="preserve">and needs </w:t>
      </w:r>
      <w:r w:rsidR="00623130" w:rsidRPr="36C17C6A">
        <w:rPr>
          <w:lang w:val="en-US"/>
        </w:rPr>
        <w:t>is a very important step in the prioritization of regional actions. In addition, d</w:t>
      </w:r>
      <w:r w:rsidR="00CE7306" w:rsidRPr="36C17C6A">
        <w:rPr>
          <w:lang w:val="en-US"/>
        </w:rPr>
        <w:t xml:space="preserve">onor organizations should </w:t>
      </w:r>
      <w:r w:rsidR="00623130" w:rsidRPr="36C17C6A">
        <w:rPr>
          <w:lang w:val="en-US"/>
        </w:rPr>
        <w:t xml:space="preserve">be encouraged to </w:t>
      </w:r>
      <w:r w:rsidR="00CE7306" w:rsidRPr="36C17C6A">
        <w:rPr>
          <w:lang w:val="en-US"/>
        </w:rPr>
        <w:t xml:space="preserve">take into account the </w:t>
      </w:r>
      <w:r w:rsidR="00623130" w:rsidRPr="36C17C6A">
        <w:rPr>
          <w:lang w:val="en-US"/>
        </w:rPr>
        <w:t xml:space="preserve">identified </w:t>
      </w:r>
      <w:r w:rsidR="00346AD6" w:rsidRPr="36C17C6A">
        <w:rPr>
          <w:lang w:val="en-US"/>
        </w:rPr>
        <w:t xml:space="preserve">gaps </w:t>
      </w:r>
      <w:r w:rsidR="00431AFE" w:rsidRPr="36C17C6A">
        <w:rPr>
          <w:lang w:val="en-US"/>
        </w:rPr>
        <w:t xml:space="preserve">and needs </w:t>
      </w:r>
      <w:r w:rsidR="00346AD6" w:rsidRPr="36C17C6A">
        <w:rPr>
          <w:lang w:val="en-US"/>
        </w:rPr>
        <w:t>in a holistic way</w:t>
      </w:r>
      <w:r w:rsidR="00623130" w:rsidRPr="36C17C6A">
        <w:rPr>
          <w:lang w:val="en-US"/>
        </w:rPr>
        <w:t>.</w:t>
      </w:r>
    </w:p>
    <w:p w14:paraId="6C9C7715" w14:textId="77777777" w:rsidR="00F45C8E" w:rsidRDefault="00F45C8E" w:rsidP="00B26EC5">
      <w:pPr>
        <w:jc w:val="both"/>
        <w:rPr>
          <w:lang w:val="en-US"/>
        </w:rPr>
      </w:pPr>
    </w:p>
    <w:tbl>
      <w:tblPr>
        <w:tblStyle w:val="TableGrid"/>
        <w:tblW w:w="0" w:type="auto"/>
        <w:tblLook w:val="04A0" w:firstRow="1" w:lastRow="0" w:firstColumn="1" w:lastColumn="0" w:noHBand="0" w:noVBand="1"/>
      </w:tblPr>
      <w:tblGrid>
        <w:gridCol w:w="1555"/>
        <w:gridCol w:w="7790"/>
      </w:tblGrid>
      <w:tr w:rsidR="0012391B" w:rsidRPr="00F11FD9" w14:paraId="6F12355E" w14:textId="77777777">
        <w:trPr>
          <w:trHeight w:val="816"/>
        </w:trPr>
        <w:tc>
          <w:tcPr>
            <w:tcW w:w="1555" w:type="dxa"/>
            <w:vMerge w:val="restart"/>
          </w:tcPr>
          <w:p w14:paraId="67374383" w14:textId="4225BC0B" w:rsidR="0012391B" w:rsidRDefault="0012391B" w:rsidP="003C6F16">
            <w:pPr>
              <w:jc w:val="both"/>
              <w:rPr>
                <w:u w:val="single"/>
                <w:lang w:val="en-US"/>
              </w:rPr>
            </w:pPr>
            <w:r>
              <w:rPr>
                <w:u w:val="single"/>
                <w:lang w:val="en-US"/>
              </w:rPr>
              <w:t>Example Activities proposed:</w:t>
            </w:r>
          </w:p>
          <w:p w14:paraId="206E5486" w14:textId="77777777" w:rsidR="0012391B" w:rsidRDefault="0012391B" w:rsidP="00B26EC5">
            <w:pPr>
              <w:jc w:val="both"/>
              <w:rPr>
                <w:u w:val="single"/>
                <w:lang w:val="en-US"/>
              </w:rPr>
            </w:pPr>
          </w:p>
        </w:tc>
        <w:tc>
          <w:tcPr>
            <w:tcW w:w="7790" w:type="dxa"/>
          </w:tcPr>
          <w:p w14:paraId="43AD6BED" w14:textId="7224E61B" w:rsidR="0012391B" w:rsidRPr="00A16024" w:rsidRDefault="0012391B" w:rsidP="00B26EC5">
            <w:pPr>
              <w:jc w:val="both"/>
              <w:rPr>
                <w:lang w:val="en-US"/>
              </w:rPr>
            </w:pPr>
            <w:r w:rsidRPr="000F27EE">
              <w:rPr>
                <w:lang w:val="en-US"/>
              </w:rPr>
              <w:t xml:space="preserve">consolidate information on capacity assessment activities implemented in </w:t>
            </w:r>
            <w:r w:rsidR="00431AFE">
              <w:rPr>
                <w:lang w:val="en-US"/>
              </w:rPr>
              <w:t xml:space="preserve">or by </w:t>
            </w:r>
            <w:r w:rsidRPr="000F27EE">
              <w:rPr>
                <w:lang w:val="en-US"/>
              </w:rPr>
              <w:t>members (e.g. tool, focus, country, year of implementation) and share the information</w:t>
            </w:r>
          </w:p>
        </w:tc>
      </w:tr>
      <w:tr w:rsidR="003C6F16" w:rsidRPr="00F11FD9" w14:paraId="3641E353" w14:textId="77777777" w:rsidTr="00A16024">
        <w:tc>
          <w:tcPr>
            <w:tcW w:w="1555" w:type="dxa"/>
            <w:vMerge/>
          </w:tcPr>
          <w:p w14:paraId="0B8E1043" w14:textId="77777777" w:rsidR="003C6F16" w:rsidRDefault="003C6F16" w:rsidP="00B26EC5">
            <w:pPr>
              <w:jc w:val="both"/>
              <w:rPr>
                <w:u w:val="single"/>
                <w:lang w:val="en-US"/>
              </w:rPr>
            </w:pPr>
          </w:p>
        </w:tc>
        <w:tc>
          <w:tcPr>
            <w:tcW w:w="7790" w:type="dxa"/>
          </w:tcPr>
          <w:p w14:paraId="641289EB" w14:textId="71BF7AE9" w:rsidR="003C6F16" w:rsidRPr="00A53BC0" w:rsidRDefault="003C6F16" w:rsidP="00A53BC0">
            <w:pPr>
              <w:jc w:val="both"/>
              <w:rPr>
                <w:u w:val="single"/>
                <w:lang w:val="en-US"/>
              </w:rPr>
            </w:pPr>
            <w:r w:rsidRPr="000F27EE">
              <w:rPr>
                <w:lang w:val="en-US"/>
              </w:rPr>
              <w:t>coordinate implementation of capacity assessment activities including country’s missions according to the evolution of epidemiological situation</w:t>
            </w:r>
          </w:p>
        </w:tc>
      </w:tr>
      <w:tr w:rsidR="003C6F16" w:rsidRPr="00F11FD9" w14:paraId="2C7D6E24" w14:textId="77777777" w:rsidTr="00A16024">
        <w:tc>
          <w:tcPr>
            <w:tcW w:w="1555" w:type="dxa"/>
            <w:vMerge/>
          </w:tcPr>
          <w:p w14:paraId="18BAB0A9" w14:textId="77777777" w:rsidR="003C6F16" w:rsidRDefault="003C6F16" w:rsidP="00B26EC5">
            <w:pPr>
              <w:jc w:val="both"/>
              <w:rPr>
                <w:u w:val="single"/>
                <w:lang w:val="en-US"/>
              </w:rPr>
            </w:pPr>
          </w:p>
        </w:tc>
        <w:tc>
          <w:tcPr>
            <w:tcW w:w="7790" w:type="dxa"/>
          </w:tcPr>
          <w:p w14:paraId="4D17FE23" w14:textId="654EA9BD" w:rsidR="003C6F16" w:rsidRPr="00A16024" w:rsidRDefault="003C6F16" w:rsidP="00A53BC0">
            <w:pPr>
              <w:jc w:val="both"/>
              <w:rPr>
                <w:u w:val="single"/>
                <w:lang w:val="en-US"/>
              </w:rPr>
            </w:pPr>
            <w:r w:rsidRPr="000F27EE">
              <w:rPr>
                <w:lang w:val="en-US"/>
              </w:rPr>
              <w:t xml:space="preserve">organize capacity building activities to address the priority gaps identified </w:t>
            </w:r>
          </w:p>
        </w:tc>
      </w:tr>
    </w:tbl>
    <w:p w14:paraId="61E5C075" w14:textId="2DD05224" w:rsidR="00594241" w:rsidRPr="0000309C" w:rsidRDefault="00594241" w:rsidP="003E24F7">
      <w:pPr>
        <w:pStyle w:val="Heading2"/>
        <w:numPr>
          <w:ilvl w:val="1"/>
          <w:numId w:val="3"/>
        </w:numPr>
        <w:rPr>
          <w:lang w:val="en-US"/>
        </w:rPr>
      </w:pPr>
      <w:r w:rsidRPr="0000309C">
        <w:rPr>
          <w:lang w:val="en-US"/>
        </w:rPr>
        <w:t xml:space="preserve">Multi-disciplinary planning for the </w:t>
      </w:r>
      <w:r w:rsidR="005F6E08">
        <w:rPr>
          <w:lang w:val="en-US"/>
        </w:rPr>
        <w:t xml:space="preserve">preparedness. </w:t>
      </w:r>
      <w:r w:rsidRPr="0000309C">
        <w:rPr>
          <w:lang w:val="en-US"/>
        </w:rPr>
        <w:t>prevention and control of priority TADs is strengthened</w:t>
      </w:r>
    </w:p>
    <w:p w14:paraId="6FCD711C" w14:textId="77777777" w:rsidR="00623130" w:rsidRPr="0000309C" w:rsidRDefault="00623130" w:rsidP="00623130">
      <w:pPr>
        <w:rPr>
          <w:lang w:val="en-US"/>
        </w:rPr>
      </w:pPr>
    </w:p>
    <w:p w14:paraId="02D8BBD1" w14:textId="5E90D147" w:rsidR="00B763C9" w:rsidRPr="0000309C" w:rsidRDefault="00623130" w:rsidP="00C54B30">
      <w:pPr>
        <w:jc w:val="both"/>
        <w:rPr>
          <w:lang w:val="en-US"/>
        </w:rPr>
      </w:pPr>
      <w:r w:rsidRPr="0000309C">
        <w:rPr>
          <w:lang w:val="en-US"/>
        </w:rPr>
        <w:t>Addressing the challenge</w:t>
      </w:r>
      <w:r w:rsidR="00C65589">
        <w:rPr>
          <w:lang w:val="en-US"/>
        </w:rPr>
        <w:t>s</w:t>
      </w:r>
      <w:r w:rsidRPr="0000309C">
        <w:rPr>
          <w:lang w:val="en-US"/>
        </w:rPr>
        <w:t xml:space="preserve"> TADs </w:t>
      </w:r>
      <w:r w:rsidR="00C65589">
        <w:rPr>
          <w:lang w:val="en-US"/>
        </w:rPr>
        <w:t xml:space="preserve">present </w:t>
      </w:r>
      <w:r w:rsidRPr="0000309C">
        <w:rPr>
          <w:lang w:val="en-US"/>
        </w:rPr>
        <w:t xml:space="preserve">in Europe </w:t>
      </w:r>
      <w:r w:rsidR="00C65589">
        <w:rPr>
          <w:lang w:val="en-US"/>
        </w:rPr>
        <w:t xml:space="preserve"> </w:t>
      </w:r>
      <w:r w:rsidRPr="0000309C">
        <w:rPr>
          <w:lang w:val="en-US"/>
        </w:rPr>
        <w:t>needs covering of different aspects to achieve success.</w:t>
      </w:r>
      <w:r w:rsidR="00C65589">
        <w:rPr>
          <w:lang w:val="en-US"/>
        </w:rPr>
        <w:t xml:space="preserve"> These include:</w:t>
      </w:r>
    </w:p>
    <w:p w14:paraId="438E0210" w14:textId="74B976EB" w:rsidR="00B763C9" w:rsidRPr="0000309C" w:rsidRDefault="00B763C9" w:rsidP="00C54B30">
      <w:pPr>
        <w:pStyle w:val="ListParagraph"/>
        <w:numPr>
          <w:ilvl w:val="0"/>
          <w:numId w:val="8"/>
        </w:numPr>
        <w:jc w:val="both"/>
        <w:rPr>
          <w:lang w:val="en-US"/>
        </w:rPr>
      </w:pPr>
      <w:r w:rsidRPr="0000309C">
        <w:rPr>
          <w:lang w:val="en-US"/>
        </w:rPr>
        <w:t xml:space="preserve">Technical, </w:t>
      </w:r>
      <w:r w:rsidR="00511BCC" w:rsidRPr="0000309C">
        <w:rPr>
          <w:lang w:val="en-US"/>
        </w:rPr>
        <w:t>political</w:t>
      </w:r>
      <w:r w:rsidR="00623130" w:rsidRPr="0000309C">
        <w:rPr>
          <w:lang w:val="en-US"/>
        </w:rPr>
        <w:t>, communication</w:t>
      </w:r>
      <w:r w:rsidR="00511BCC" w:rsidRPr="0000309C">
        <w:rPr>
          <w:lang w:val="en-US"/>
        </w:rPr>
        <w:t xml:space="preserve"> and organization aspects</w:t>
      </w:r>
      <w:r w:rsidR="00623130" w:rsidRPr="0000309C">
        <w:rPr>
          <w:lang w:val="en-US"/>
        </w:rPr>
        <w:t xml:space="preserve"> sustain each other and must be addressed </w:t>
      </w:r>
      <w:r w:rsidR="00A06ECC" w:rsidRPr="0000309C">
        <w:rPr>
          <w:lang w:val="en-US"/>
        </w:rPr>
        <w:t>together</w:t>
      </w:r>
      <w:r w:rsidR="00431AFE">
        <w:rPr>
          <w:lang w:val="en-US"/>
        </w:rPr>
        <w:t>,</w:t>
      </w:r>
    </w:p>
    <w:p w14:paraId="6B18FF3D" w14:textId="6040CBEE" w:rsidR="00844A92" w:rsidRDefault="00BC0A41" w:rsidP="00C54B30">
      <w:pPr>
        <w:pStyle w:val="ListParagraph"/>
        <w:numPr>
          <w:ilvl w:val="0"/>
          <w:numId w:val="8"/>
        </w:numPr>
        <w:jc w:val="both"/>
        <w:rPr>
          <w:lang w:val="en-US"/>
        </w:rPr>
      </w:pPr>
      <w:r w:rsidRPr="0000309C">
        <w:rPr>
          <w:lang w:val="en-US"/>
        </w:rPr>
        <w:t>When relevant, a</w:t>
      </w:r>
      <w:r w:rsidR="00D229FB" w:rsidRPr="0000309C">
        <w:rPr>
          <w:lang w:val="en-US"/>
        </w:rPr>
        <w:t>ctivities should be p</w:t>
      </w:r>
      <w:r w:rsidR="00113AF0" w:rsidRPr="0000309C">
        <w:rPr>
          <w:lang w:val="en-US"/>
        </w:rPr>
        <w:t xml:space="preserve">lanned together with other priorities in the wider sphere of </w:t>
      </w:r>
      <w:r w:rsidR="00C65589">
        <w:rPr>
          <w:lang w:val="en-US"/>
        </w:rPr>
        <w:t xml:space="preserve">livestock </w:t>
      </w:r>
      <w:r w:rsidR="00113AF0" w:rsidRPr="0000309C">
        <w:rPr>
          <w:lang w:val="en-US"/>
        </w:rPr>
        <w:t>farming and food production</w:t>
      </w:r>
      <w:r w:rsidR="00D229FB" w:rsidRPr="0000309C">
        <w:rPr>
          <w:lang w:val="en-US"/>
        </w:rPr>
        <w:t xml:space="preserve">, so that they can be supported by different actors </w:t>
      </w:r>
      <w:r w:rsidR="00B96708" w:rsidRPr="0000309C">
        <w:rPr>
          <w:lang w:val="en-US"/>
        </w:rPr>
        <w:t>from different sectors</w:t>
      </w:r>
      <w:r w:rsidRPr="0000309C">
        <w:rPr>
          <w:lang w:val="en-US"/>
        </w:rPr>
        <w:t xml:space="preserve">, </w:t>
      </w:r>
      <w:r w:rsidR="00844A92" w:rsidRPr="0000309C">
        <w:rPr>
          <w:lang w:val="en-US"/>
        </w:rPr>
        <w:t>as in the case of the PPR eradication strategy</w:t>
      </w:r>
      <w:r w:rsidR="00431AFE">
        <w:rPr>
          <w:lang w:val="en-US"/>
        </w:rPr>
        <w:t>,</w:t>
      </w:r>
    </w:p>
    <w:p w14:paraId="30DC664B" w14:textId="57958244" w:rsidR="005F6E08" w:rsidRPr="0000309C" w:rsidRDefault="005F6E08" w:rsidP="00C54B30">
      <w:pPr>
        <w:pStyle w:val="ListParagraph"/>
        <w:numPr>
          <w:ilvl w:val="0"/>
          <w:numId w:val="8"/>
        </w:numPr>
        <w:jc w:val="both"/>
        <w:rPr>
          <w:lang w:val="en-US"/>
        </w:rPr>
      </w:pPr>
      <w:r>
        <w:rPr>
          <w:lang w:val="en-US"/>
        </w:rPr>
        <w:t>Proper connection between science and policy</w:t>
      </w:r>
      <w:r w:rsidR="00F45C8E">
        <w:rPr>
          <w:lang w:val="en-US"/>
        </w:rPr>
        <w:t xml:space="preserve"> should be facilitated</w:t>
      </w:r>
      <w:r>
        <w:rPr>
          <w:lang w:val="en-US"/>
        </w:rPr>
        <w:t xml:space="preserve">, ensuring policy makers and risk managers provide </w:t>
      </w:r>
      <w:r w:rsidR="00F45C8E">
        <w:rPr>
          <w:lang w:val="en-US"/>
        </w:rPr>
        <w:t xml:space="preserve">clear </w:t>
      </w:r>
      <w:r>
        <w:rPr>
          <w:lang w:val="en-US"/>
        </w:rPr>
        <w:t>indication</w:t>
      </w:r>
      <w:r w:rsidR="00F45C8E">
        <w:rPr>
          <w:lang w:val="en-US"/>
        </w:rPr>
        <w:t>s</w:t>
      </w:r>
      <w:r>
        <w:rPr>
          <w:lang w:val="en-US"/>
        </w:rPr>
        <w:t xml:space="preserve"> on applied research priorities and make the best use of research outcomes</w:t>
      </w:r>
    </w:p>
    <w:p w14:paraId="057D1F07" w14:textId="51AD88E7" w:rsidR="00844A92" w:rsidRPr="0000309C" w:rsidRDefault="00844A92" w:rsidP="00C54B30">
      <w:pPr>
        <w:pStyle w:val="ListParagraph"/>
        <w:numPr>
          <w:ilvl w:val="0"/>
          <w:numId w:val="8"/>
        </w:numPr>
        <w:jc w:val="both"/>
        <w:rPr>
          <w:lang w:val="en-US"/>
        </w:rPr>
      </w:pPr>
      <w:r w:rsidRPr="0000309C">
        <w:rPr>
          <w:lang w:val="en-US"/>
        </w:rPr>
        <w:t>Moreover, it is important to address the wildlife component of TADs</w:t>
      </w:r>
      <w:r w:rsidR="00431AFE">
        <w:rPr>
          <w:lang w:val="en-US"/>
        </w:rPr>
        <w:t>, as relevant</w:t>
      </w:r>
      <w:r w:rsidR="00727CB1" w:rsidRPr="0000309C">
        <w:rPr>
          <w:lang w:val="en-US"/>
        </w:rPr>
        <w:t>.</w:t>
      </w:r>
    </w:p>
    <w:p w14:paraId="0CC7E042" w14:textId="1EDE0AC0" w:rsidR="00F45C8E" w:rsidRPr="00F11FD9" w:rsidRDefault="00F45C8E" w:rsidP="00F11FD9">
      <w:pPr>
        <w:spacing w:after="0" w:line="240" w:lineRule="auto"/>
        <w:textAlignment w:val="center"/>
        <w:rPr>
          <w:rFonts w:ascii="Calibri" w:eastAsia="Times New Roman" w:hAnsi="Calibri" w:cs="Calibri"/>
          <w:lang w:val="en-US"/>
        </w:rPr>
      </w:pPr>
      <w:r w:rsidRPr="00F11FD9">
        <w:rPr>
          <w:rFonts w:ascii="Calibri" w:eastAsia="Times New Roman" w:hAnsi="Calibri" w:cs="Calibri"/>
          <w:lang w:val="en-US"/>
        </w:rPr>
        <w:t>.</w:t>
      </w:r>
    </w:p>
    <w:p w14:paraId="0CB59106" w14:textId="1E239C64" w:rsidR="00D45DA4" w:rsidRDefault="00844A92" w:rsidP="00D45DA4">
      <w:pPr>
        <w:jc w:val="both"/>
        <w:rPr>
          <w:u w:val="single"/>
          <w:lang w:val="en-US"/>
        </w:rPr>
      </w:pPr>
      <w:r w:rsidRPr="0000309C">
        <w:rPr>
          <w:lang w:val="en-US"/>
        </w:rPr>
        <w:t xml:space="preserve">The result of this planning is described in the </w:t>
      </w:r>
      <w:r w:rsidR="00FF5796">
        <w:rPr>
          <w:lang w:val="en-US"/>
        </w:rPr>
        <w:t xml:space="preserve">coordinated activities planning, </w:t>
      </w:r>
      <w:r w:rsidR="005A7E02">
        <w:rPr>
          <w:lang w:val="en-US"/>
        </w:rPr>
        <w:t xml:space="preserve">disease control milestones (Annex 1) and </w:t>
      </w:r>
      <w:r w:rsidRPr="0000309C">
        <w:rPr>
          <w:lang w:val="en-US"/>
        </w:rPr>
        <w:t xml:space="preserve">logical framework (Annex </w:t>
      </w:r>
      <w:r w:rsidR="00A16024">
        <w:rPr>
          <w:lang w:val="en-US"/>
        </w:rPr>
        <w:t>2</w:t>
      </w:r>
      <w:r w:rsidRPr="0000309C">
        <w:rPr>
          <w:lang w:val="en-US"/>
        </w:rPr>
        <w:t>)</w:t>
      </w:r>
      <w:r w:rsidR="00ED035A" w:rsidRPr="0000309C">
        <w:rPr>
          <w:lang w:val="en-US"/>
        </w:rPr>
        <w:t>.</w:t>
      </w:r>
    </w:p>
    <w:tbl>
      <w:tblPr>
        <w:tblStyle w:val="TableGrid"/>
        <w:tblW w:w="0" w:type="auto"/>
        <w:tblLook w:val="04A0" w:firstRow="1" w:lastRow="0" w:firstColumn="1" w:lastColumn="0" w:noHBand="0" w:noVBand="1"/>
      </w:tblPr>
      <w:tblGrid>
        <w:gridCol w:w="1271"/>
        <w:gridCol w:w="8074"/>
      </w:tblGrid>
      <w:tr w:rsidR="00DE14E9" w:rsidRPr="00F11FD9" w14:paraId="26899891" w14:textId="77777777">
        <w:tc>
          <w:tcPr>
            <w:tcW w:w="1271" w:type="dxa"/>
            <w:vMerge w:val="restart"/>
          </w:tcPr>
          <w:p w14:paraId="38C64A1C" w14:textId="77777777" w:rsidR="00DE14E9" w:rsidRPr="009F4D63" w:rsidRDefault="00DE14E9">
            <w:pPr>
              <w:jc w:val="both"/>
              <w:rPr>
                <w:lang w:val="en-US"/>
              </w:rPr>
            </w:pPr>
            <w:r>
              <w:rPr>
                <w:lang w:val="en-US"/>
              </w:rPr>
              <w:t xml:space="preserve">Example </w:t>
            </w:r>
            <w:r w:rsidRPr="009F4D63">
              <w:rPr>
                <w:lang w:val="en-US"/>
              </w:rPr>
              <w:t>Activities proposed:</w:t>
            </w:r>
          </w:p>
        </w:tc>
        <w:tc>
          <w:tcPr>
            <w:tcW w:w="8074" w:type="dxa"/>
          </w:tcPr>
          <w:p w14:paraId="2A15EF49" w14:textId="17D3134E" w:rsidR="008E1257" w:rsidRPr="00A65724" w:rsidRDefault="005F10CA">
            <w:pPr>
              <w:jc w:val="both"/>
              <w:rPr>
                <w:lang w:val="en-US"/>
              </w:rPr>
            </w:pPr>
            <w:r w:rsidRPr="00A65724">
              <w:rPr>
                <w:lang w:val="en-US"/>
              </w:rPr>
              <w:t xml:space="preserve">Listing all of the disciplines </w:t>
            </w:r>
            <w:r w:rsidR="0065419E" w:rsidRPr="00A65724">
              <w:rPr>
                <w:lang w:val="en-US"/>
              </w:rPr>
              <w:t>to take into account; and invite relevant stakeholders to SGEs</w:t>
            </w:r>
          </w:p>
        </w:tc>
      </w:tr>
      <w:tr w:rsidR="00DE14E9" w:rsidRPr="00F11FD9" w14:paraId="498D216B" w14:textId="77777777">
        <w:tc>
          <w:tcPr>
            <w:tcW w:w="1271" w:type="dxa"/>
            <w:vMerge/>
          </w:tcPr>
          <w:p w14:paraId="07AEAC60" w14:textId="77777777" w:rsidR="00DE14E9" w:rsidRPr="009F4D63" w:rsidRDefault="00DE14E9">
            <w:pPr>
              <w:pStyle w:val="ListParagraph"/>
              <w:jc w:val="both"/>
              <w:rPr>
                <w:lang w:val="en-US"/>
              </w:rPr>
            </w:pPr>
          </w:p>
        </w:tc>
        <w:tc>
          <w:tcPr>
            <w:tcW w:w="8074" w:type="dxa"/>
          </w:tcPr>
          <w:p w14:paraId="0EFABD3B" w14:textId="5B6A4FD4" w:rsidR="00A65724" w:rsidRDefault="00A65724" w:rsidP="00A65724">
            <w:pPr>
              <w:pStyle w:val="pf0"/>
              <w:spacing w:after="0" w:afterAutospacing="0"/>
              <w:jc w:val="both"/>
              <w:rPr>
                <w:rStyle w:val="cf01"/>
                <w:rFonts w:asciiTheme="minorHAnsi" w:hAnsiTheme="minorHAnsi" w:cstheme="minorHAnsi"/>
                <w:sz w:val="22"/>
                <w:szCs w:val="22"/>
                <w:lang w:val="en-US"/>
              </w:rPr>
            </w:pPr>
            <w:r>
              <w:rPr>
                <w:rStyle w:val="cf01"/>
                <w:rFonts w:asciiTheme="minorHAnsi" w:hAnsiTheme="minorHAnsi" w:cstheme="minorHAnsi"/>
                <w:sz w:val="22"/>
                <w:szCs w:val="22"/>
                <w:lang w:val="en-US"/>
              </w:rPr>
              <w:t>C</w:t>
            </w:r>
            <w:r w:rsidR="009D0455" w:rsidRPr="00A65724">
              <w:rPr>
                <w:rStyle w:val="cf01"/>
                <w:rFonts w:asciiTheme="minorHAnsi" w:hAnsiTheme="minorHAnsi" w:cstheme="minorHAnsi"/>
                <w:sz w:val="22"/>
                <w:szCs w:val="22"/>
                <w:lang w:val="en-US"/>
              </w:rPr>
              <w:t xml:space="preserve">ontinue / </w:t>
            </w:r>
            <w:proofErr w:type="spellStart"/>
            <w:r w:rsidR="009D0455" w:rsidRPr="00A65724">
              <w:rPr>
                <w:rStyle w:val="cf01"/>
                <w:rFonts w:asciiTheme="minorHAnsi" w:hAnsiTheme="minorHAnsi" w:cstheme="minorHAnsi"/>
                <w:sz w:val="22"/>
                <w:szCs w:val="22"/>
                <w:lang w:val="en-US"/>
              </w:rPr>
              <w:t>strenghten</w:t>
            </w:r>
            <w:proofErr w:type="spellEnd"/>
            <w:r w:rsidR="009D0455" w:rsidRPr="00A65724">
              <w:rPr>
                <w:rStyle w:val="cf01"/>
                <w:rFonts w:asciiTheme="minorHAnsi" w:hAnsiTheme="minorHAnsi" w:cstheme="minorHAnsi"/>
                <w:sz w:val="22"/>
                <w:szCs w:val="22"/>
                <w:lang w:val="en-US"/>
              </w:rPr>
              <w:t xml:space="preserve"> collaboration with hunters for work related to wildlife collaboration (ASF, HPAI)</w:t>
            </w:r>
            <w:r>
              <w:rPr>
                <w:rStyle w:val="cf01"/>
                <w:rFonts w:asciiTheme="minorHAnsi" w:hAnsiTheme="minorHAnsi" w:cstheme="minorHAnsi"/>
                <w:sz w:val="22"/>
                <w:szCs w:val="22"/>
                <w:lang w:val="en-US"/>
              </w:rPr>
              <w:t>.</w:t>
            </w:r>
          </w:p>
          <w:p w14:paraId="53178D1B" w14:textId="15827A14" w:rsidR="00DE14E9" w:rsidRPr="00A16024" w:rsidRDefault="00A65724" w:rsidP="00A65724">
            <w:pPr>
              <w:pStyle w:val="pf0"/>
              <w:spacing w:before="0" w:beforeAutospacing="0"/>
              <w:rPr>
                <w:lang w:val="en-US"/>
              </w:rPr>
            </w:pPr>
            <w:r>
              <w:rPr>
                <w:rStyle w:val="cf01"/>
                <w:rFonts w:asciiTheme="minorHAnsi" w:hAnsiTheme="minorHAnsi" w:cstheme="minorHAnsi"/>
                <w:sz w:val="22"/>
                <w:szCs w:val="22"/>
                <w:lang w:val="en-US"/>
              </w:rPr>
              <w:t>D</w:t>
            </w:r>
            <w:r w:rsidR="009D0455" w:rsidRPr="00A65724">
              <w:rPr>
                <w:rStyle w:val="cf01"/>
                <w:rFonts w:asciiTheme="minorHAnsi" w:hAnsiTheme="minorHAnsi" w:cstheme="minorHAnsi"/>
                <w:sz w:val="22"/>
                <w:szCs w:val="22"/>
                <w:lang w:val="en-US"/>
              </w:rPr>
              <w:t>evelop value chain analysis for certain pig/poultry production involving socio economist</w:t>
            </w:r>
            <w:r w:rsidR="00C258B9" w:rsidRPr="00A65724">
              <w:rPr>
                <w:rStyle w:val="cf01"/>
                <w:rFonts w:asciiTheme="minorHAnsi" w:hAnsiTheme="minorHAnsi" w:cstheme="minorHAnsi"/>
                <w:sz w:val="22"/>
                <w:szCs w:val="22"/>
                <w:lang w:val="en-US"/>
              </w:rPr>
              <w:t xml:space="preserve">s, </w:t>
            </w:r>
            <w:r w:rsidR="00C258B9" w:rsidRPr="00A65724">
              <w:rPr>
                <w:rStyle w:val="cf01"/>
                <w:rFonts w:asciiTheme="minorHAnsi" w:eastAsiaTheme="majorEastAsia" w:hAnsiTheme="minorHAnsi" w:cstheme="minorHAnsi"/>
                <w:sz w:val="22"/>
                <w:szCs w:val="22"/>
                <w:lang w:val="en-US"/>
              </w:rPr>
              <w:t>Associate anthropologist for certain communication campaign towards small producers, etc.</w:t>
            </w:r>
          </w:p>
        </w:tc>
      </w:tr>
    </w:tbl>
    <w:p w14:paraId="4ABFF2E4" w14:textId="77777777" w:rsidR="00DE14E9" w:rsidRPr="0000309C" w:rsidRDefault="00DE14E9" w:rsidP="00C54B30">
      <w:pPr>
        <w:jc w:val="both"/>
        <w:rPr>
          <w:lang w:val="en-US"/>
        </w:rPr>
      </w:pPr>
    </w:p>
    <w:p w14:paraId="3DBA963E" w14:textId="04E64DC2" w:rsidR="00594241" w:rsidRPr="0000309C" w:rsidRDefault="00594241" w:rsidP="003E24F7">
      <w:pPr>
        <w:pStyle w:val="Heading2"/>
        <w:numPr>
          <w:ilvl w:val="1"/>
          <w:numId w:val="3"/>
        </w:numPr>
        <w:rPr>
          <w:lang w:val="en-US"/>
        </w:rPr>
      </w:pPr>
      <w:r w:rsidRPr="0000309C">
        <w:rPr>
          <w:lang w:val="en-US"/>
        </w:rPr>
        <w:t xml:space="preserve">Providing harmonized mechanisms/tools </w:t>
      </w:r>
      <w:r w:rsidR="009557A0" w:rsidRPr="0000309C">
        <w:rPr>
          <w:lang w:val="en-US"/>
        </w:rPr>
        <w:t>to monitor the control of priority TADs provided</w:t>
      </w:r>
    </w:p>
    <w:p w14:paraId="6C7EBF42" w14:textId="77777777" w:rsidR="005C1C73" w:rsidRPr="0000309C" w:rsidRDefault="005C1C73" w:rsidP="00C54B30">
      <w:pPr>
        <w:jc w:val="both"/>
        <w:rPr>
          <w:lang w:val="en-US"/>
        </w:rPr>
      </w:pPr>
    </w:p>
    <w:p w14:paraId="6D908BD6" w14:textId="03051674" w:rsidR="00844A92" w:rsidRPr="0000309C" w:rsidRDefault="00844A92" w:rsidP="00C54B30">
      <w:pPr>
        <w:jc w:val="both"/>
        <w:rPr>
          <w:lang w:val="en-US"/>
        </w:rPr>
      </w:pPr>
      <w:r w:rsidRPr="0000309C">
        <w:rPr>
          <w:lang w:val="en-US"/>
        </w:rPr>
        <w:t>On</w:t>
      </w:r>
      <w:r w:rsidR="00ED035A" w:rsidRPr="0000309C">
        <w:rPr>
          <w:lang w:val="en-US"/>
        </w:rPr>
        <w:t>c</w:t>
      </w:r>
      <w:r w:rsidRPr="0000309C">
        <w:rPr>
          <w:lang w:val="en-US"/>
        </w:rPr>
        <w:t>e gaps</w:t>
      </w:r>
      <w:r w:rsidR="004209AD">
        <w:rPr>
          <w:lang w:val="en-US"/>
        </w:rPr>
        <w:t xml:space="preserve"> and opportunities</w:t>
      </w:r>
      <w:r w:rsidRPr="0000309C">
        <w:rPr>
          <w:lang w:val="en-US"/>
        </w:rPr>
        <w:t xml:space="preserve"> have been identified</w:t>
      </w:r>
      <w:r w:rsidR="00ED035A" w:rsidRPr="0000309C">
        <w:rPr>
          <w:lang w:val="en-US"/>
        </w:rPr>
        <w:t xml:space="preserve"> and actions determined through the multidisciplinary approaches described above, it is necessary to measure the effectiveness of these actions </w:t>
      </w:r>
      <w:proofErr w:type="gramStart"/>
      <w:r w:rsidR="00ED035A" w:rsidRPr="0000309C">
        <w:rPr>
          <w:lang w:val="en-US"/>
        </w:rPr>
        <w:t>in order to</w:t>
      </w:r>
      <w:proofErr w:type="gramEnd"/>
      <w:r w:rsidR="00ED035A" w:rsidRPr="0000309C">
        <w:rPr>
          <w:lang w:val="en-US"/>
        </w:rPr>
        <w:t xml:space="preserve"> ensure progress. </w:t>
      </w:r>
      <w:r w:rsidRPr="0000309C">
        <w:rPr>
          <w:lang w:val="en-US"/>
        </w:rPr>
        <w:t xml:space="preserve"> </w:t>
      </w:r>
      <w:r w:rsidR="00ED035A" w:rsidRPr="0000309C">
        <w:rPr>
          <w:lang w:val="en-US"/>
        </w:rPr>
        <w:t>Indicators are designed to measure this progress</w:t>
      </w:r>
      <w:r w:rsidR="001E405E">
        <w:rPr>
          <w:lang w:val="en-US"/>
        </w:rPr>
        <w:t>, as follows:</w:t>
      </w:r>
      <w:r w:rsidR="00ED035A" w:rsidRPr="0000309C">
        <w:rPr>
          <w:lang w:val="en-US"/>
        </w:rPr>
        <w:t xml:space="preserve"> </w:t>
      </w:r>
    </w:p>
    <w:p w14:paraId="01604B4F" w14:textId="753B01EE" w:rsidR="008C03E3" w:rsidRPr="0000309C" w:rsidRDefault="00ED035A" w:rsidP="00C54B30">
      <w:pPr>
        <w:pStyle w:val="ListParagraph"/>
        <w:numPr>
          <w:ilvl w:val="0"/>
          <w:numId w:val="8"/>
        </w:numPr>
        <w:jc w:val="both"/>
        <w:rPr>
          <w:lang w:val="en-US"/>
        </w:rPr>
      </w:pPr>
      <w:r w:rsidRPr="0000309C">
        <w:rPr>
          <w:lang w:val="en-US"/>
        </w:rPr>
        <w:t>The GF</w:t>
      </w:r>
      <w:r w:rsidR="00C65589">
        <w:rPr>
          <w:lang w:val="en-US"/>
        </w:rPr>
        <w:t>-</w:t>
      </w:r>
      <w:r w:rsidRPr="0000309C">
        <w:rPr>
          <w:lang w:val="en-US"/>
        </w:rPr>
        <w:t>TADs partners p</w:t>
      </w:r>
      <w:r w:rsidR="008C03E3" w:rsidRPr="0000309C">
        <w:rPr>
          <w:lang w:val="en-US"/>
        </w:rPr>
        <w:t>rovide tools</w:t>
      </w:r>
      <w:r w:rsidR="009A0254">
        <w:rPr>
          <w:rStyle w:val="FootnoteReference"/>
          <w:lang w:val="en-US"/>
        </w:rPr>
        <w:footnoteReference w:id="3"/>
      </w:r>
      <w:r w:rsidR="008C03E3" w:rsidRPr="0000309C">
        <w:rPr>
          <w:lang w:val="en-US"/>
        </w:rPr>
        <w:t xml:space="preserve"> </w:t>
      </w:r>
      <w:r w:rsidRPr="0000309C">
        <w:rPr>
          <w:lang w:val="en-US"/>
        </w:rPr>
        <w:t xml:space="preserve">to countries </w:t>
      </w:r>
      <w:r w:rsidR="008C03E3" w:rsidRPr="0000309C">
        <w:rPr>
          <w:lang w:val="en-US"/>
        </w:rPr>
        <w:t>for self-</w:t>
      </w:r>
      <w:r w:rsidR="00A401A2" w:rsidRPr="0000309C">
        <w:rPr>
          <w:lang w:val="en-US"/>
        </w:rPr>
        <w:t>assessment</w:t>
      </w:r>
      <w:r w:rsidR="00431AFE">
        <w:rPr>
          <w:lang w:val="en-US"/>
        </w:rPr>
        <w:t>,</w:t>
      </w:r>
    </w:p>
    <w:p w14:paraId="4A6F4F62" w14:textId="0EAB12D0" w:rsidR="00A401A2" w:rsidRPr="0000309C" w:rsidRDefault="00ED035A" w:rsidP="00C54B30">
      <w:pPr>
        <w:pStyle w:val="ListParagraph"/>
        <w:numPr>
          <w:ilvl w:val="0"/>
          <w:numId w:val="8"/>
        </w:numPr>
        <w:jc w:val="both"/>
        <w:rPr>
          <w:lang w:val="en-US"/>
        </w:rPr>
      </w:pPr>
      <w:r w:rsidRPr="0000309C">
        <w:rPr>
          <w:lang w:val="en-US"/>
        </w:rPr>
        <w:t>WOAH u</w:t>
      </w:r>
      <w:r w:rsidR="00AD2E5D" w:rsidRPr="0000309C">
        <w:rPr>
          <w:lang w:val="en-US"/>
        </w:rPr>
        <w:t>se</w:t>
      </w:r>
      <w:r w:rsidRPr="0000309C">
        <w:rPr>
          <w:lang w:val="en-US"/>
        </w:rPr>
        <w:t>s</w:t>
      </w:r>
      <w:r w:rsidR="00AD2E5D" w:rsidRPr="0000309C">
        <w:rPr>
          <w:lang w:val="en-US"/>
        </w:rPr>
        <w:t xml:space="preserve"> the data provided by the </w:t>
      </w:r>
      <w:r w:rsidR="002248A5" w:rsidRPr="0000309C">
        <w:rPr>
          <w:lang w:val="en-US"/>
        </w:rPr>
        <w:t>members of the SGE</w:t>
      </w:r>
      <w:r w:rsidR="00860962">
        <w:rPr>
          <w:lang w:val="en-US"/>
        </w:rPr>
        <w:t>s</w:t>
      </w:r>
      <w:r w:rsidR="002248A5" w:rsidRPr="0000309C">
        <w:rPr>
          <w:lang w:val="en-US"/>
        </w:rPr>
        <w:t xml:space="preserve"> in the questionnaires and the presentations to feed into Observatory </w:t>
      </w:r>
      <w:r w:rsidR="00A06ECC" w:rsidRPr="0000309C">
        <w:rPr>
          <w:lang w:val="en-US"/>
        </w:rPr>
        <w:t>projects and</w:t>
      </w:r>
      <w:r w:rsidRPr="0000309C">
        <w:rPr>
          <w:lang w:val="en-US"/>
        </w:rPr>
        <w:t xml:space="preserve"> can group</w:t>
      </w:r>
      <w:r w:rsidR="00A72DFA" w:rsidRPr="0000309C">
        <w:rPr>
          <w:lang w:val="en-US"/>
        </w:rPr>
        <w:t xml:space="preserve"> data</w:t>
      </w:r>
      <w:r w:rsidRPr="0000309C">
        <w:rPr>
          <w:lang w:val="en-US"/>
        </w:rPr>
        <w:t xml:space="preserve"> from these sources</w:t>
      </w:r>
      <w:r w:rsidR="00431AFE">
        <w:rPr>
          <w:lang w:val="en-US"/>
        </w:rPr>
        <w:t>,</w:t>
      </w:r>
      <w:r w:rsidR="00431AFE" w:rsidRPr="0000309C">
        <w:rPr>
          <w:lang w:val="en-US"/>
        </w:rPr>
        <w:t xml:space="preserve"> </w:t>
      </w:r>
    </w:p>
    <w:p w14:paraId="3B6F7E86" w14:textId="53FD7613" w:rsidR="00ED035A" w:rsidRPr="0000309C" w:rsidRDefault="00407E4E" w:rsidP="00C54B30">
      <w:pPr>
        <w:pStyle w:val="ListParagraph"/>
        <w:numPr>
          <w:ilvl w:val="0"/>
          <w:numId w:val="8"/>
        </w:numPr>
        <w:jc w:val="both"/>
        <w:rPr>
          <w:lang w:val="en-US"/>
        </w:rPr>
      </w:pPr>
      <w:r w:rsidRPr="0000309C">
        <w:rPr>
          <w:lang w:val="en-US"/>
        </w:rPr>
        <w:t>FAO tools</w:t>
      </w:r>
      <w:r w:rsidR="00AF56C1" w:rsidRPr="0000309C">
        <w:rPr>
          <w:lang w:val="en-US"/>
        </w:rPr>
        <w:t xml:space="preserve"> for monitoring and evaluation </w:t>
      </w:r>
      <w:r w:rsidR="00ED035A" w:rsidRPr="0000309C">
        <w:rPr>
          <w:lang w:val="en-US"/>
        </w:rPr>
        <w:t>will also be used</w:t>
      </w:r>
      <w:r w:rsidR="00860962">
        <w:rPr>
          <w:lang w:val="en-US"/>
        </w:rPr>
        <w:t>,</w:t>
      </w:r>
    </w:p>
    <w:p w14:paraId="4DD92656" w14:textId="2E2E811F" w:rsidR="00ED035A" w:rsidRPr="0000309C" w:rsidRDefault="00ED035A" w:rsidP="00C54B30">
      <w:pPr>
        <w:pStyle w:val="ListParagraph"/>
        <w:numPr>
          <w:ilvl w:val="0"/>
          <w:numId w:val="8"/>
        </w:numPr>
        <w:jc w:val="both"/>
        <w:rPr>
          <w:lang w:val="en-US"/>
        </w:rPr>
      </w:pPr>
      <w:r w:rsidRPr="0000309C">
        <w:rPr>
          <w:lang w:val="en-US"/>
        </w:rPr>
        <w:t xml:space="preserve">Key performance indicators are grouped in the table in Annex </w:t>
      </w:r>
      <w:r w:rsidR="00A16024">
        <w:rPr>
          <w:lang w:val="en-US"/>
        </w:rPr>
        <w:t>2</w:t>
      </w:r>
      <w:r w:rsidRPr="0000309C">
        <w:rPr>
          <w:lang w:val="en-US"/>
        </w:rPr>
        <w:t xml:space="preserve">. </w:t>
      </w:r>
    </w:p>
    <w:p w14:paraId="4152A826" w14:textId="77777777" w:rsidR="00ED035A" w:rsidRPr="0000309C" w:rsidRDefault="00ED035A" w:rsidP="00C54B30">
      <w:pPr>
        <w:jc w:val="both"/>
        <w:rPr>
          <w:lang w:val="en-US"/>
        </w:rPr>
      </w:pPr>
      <w:r w:rsidRPr="0000309C">
        <w:rPr>
          <w:lang w:val="en-US"/>
        </w:rPr>
        <w:t>Along other reporting mechanisms, reports on progress achieved are provided:</w:t>
      </w:r>
    </w:p>
    <w:p w14:paraId="2F9637E3" w14:textId="3DA79FCD" w:rsidR="00C54B30" w:rsidRPr="0000309C" w:rsidRDefault="00ED035A" w:rsidP="00C54B30">
      <w:pPr>
        <w:pStyle w:val="ListParagraph"/>
        <w:numPr>
          <w:ilvl w:val="0"/>
          <w:numId w:val="8"/>
        </w:numPr>
        <w:jc w:val="both"/>
        <w:rPr>
          <w:lang w:val="en-US"/>
        </w:rPr>
      </w:pPr>
      <w:r w:rsidRPr="0000309C">
        <w:rPr>
          <w:lang w:val="en-US"/>
        </w:rPr>
        <w:t>by the President of the GF</w:t>
      </w:r>
      <w:r w:rsidR="00C65589">
        <w:rPr>
          <w:lang w:val="en-US"/>
        </w:rPr>
        <w:t>-</w:t>
      </w:r>
      <w:r w:rsidRPr="0000309C">
        <w:rPr>
          <w:lang w:val="en-US"/>
        </w:rPr>
        <w:t xml:space="preserve">TADs </w:t>
      </w:r>
      <w:r w:rsidR="00344E11">
        <w:rPr>
          <w:lang w:val="en-US"/>
        </w:rPr>
        <w:t xml:space="preserve">for Europe </w:t>
      </w:r>
      <w:r w:rsidR="00C54B30" w:rsidRPr="0000309C">
        <w:rPr>
          <w:lang w:val="en-US"/>
        </w:rPr>
        <w:t>to the yearly GSC</w:t>
      </w:r>
      <w:r w:rsidR="006D7496" w:rsidRPr="0000309C">
        <w:rPr>
          <w:lang w:val="en-US"/>
        </w:rPr>
        <w:t>.</w:t>
      </w:r>
    </w:p>
    <w:p w14:paraId="7B8078DC" w14:textId="62AA60B3" w:rsidR="00ED035A" w:rsidRPr="0000309C" w:rsidRDefault="00C54B30" w:rsidP="00C54B30">
      <w:pPr>
        <w:pStyle w:val="ListParagraph"/>
        <w:numPr>
          <w:ilvl w:val="0"/>
          <w:numId w:val="8"/>
        </w:numPr>
        <w:jc w:val="both"/>
        <w:rPr>
          <w:lang w:val="en-US"/>
        </w:rPr>
      </w:pPr>
      <w:r w:rsidRPr="0000309C">
        <w:rPr>
          <w:lang w:val="en-US"/>
        </w:rPr>
        <w:t>by the President of the GF</w:t>
      </w:r>
      <w:r w:rsidR="00C65589">
        <w:rPr>
          <w:lang w:val="en-US"/>
        </w:rPr>
        <w:t>-</w:t>
      </w:r>
      <w:r w:rsidRPr="0000309C">
        <w:rPr>
          <w:lang w:val="en-US"/>
        </w:rPr>
        <w:t xml:space="preserve">TADs </w:t>
      </w:r>
      <w:r w:rsidR="00344E11">
        <w:rPr>
          <w:lang w:val="en-US"/>
        </w:rPr>
        <w:t xml:space="preserve">for Europe </w:t>
      </w:r>
      <w:r w:rsidRPr="0000309C">
        <w:rPr>
          <w:lang w:val="en-US"/>
        </w:rPr>
        <w:t xml:space="preserve">to the RSC every two years. </w:t>
      </w:r>
    </w:p>
    <w:p w14:paraId="06C5E770" w14:textId="1A6796BE" w:rsidR="009A4886" w:rsidRDefault="00C54B30" w:rsidP="00C54B30">
      <w:pPr>
        <w:jc w:val="both"/>
        <w:rPr>
          <w:lang w:val="en-US"/>
        </w:rPr>
      </w:pPr>
      <w:r w:rsidRPr="0000309C">
        <w:rPr>
          <w:lang w:val="en-US"/>
        </w:rPr>
        <w:t xml:space="preserve">Adjustments to actions </w:t>
      </w:r>
      <w:r w:rsidR="00866B00" w:rsidRPr="0000309C">
        <w:rPr>
          <w:lang w:val="en-US"/>
        </w:rPr>
        <w:t>programmed can</w:t>
      </w:r>
      <w:r w:rsidRPr="0000309C">
        <w:rPr>
          <w:lang w:val="en-US"/>
        </w:rPr>
        <w:t xml:space="preserve"> be made during the GF</w:t>
      </w:r>
      <w:r w:rsidR="00C65589">
        <w:rPr>
          <w:lang w:val="en-US"/>
        </w:rPr>
        <w:t>-</w:t>
      </w:r>
      <w:r w:rsidRPr="0000309C">
        <w:rPr>
          <w:lang w:val="en-US"/>
        </w:rPr>
        <w:t xml:space="preserve">TADs </w:t>
      </w:r>
      <w:r w:rsidR="00E2422C">
        <w:rPr>
          <w:lang w:val="en-US"/>
        </w:rPr>
        <w:t>fora</w:t>
      </w:r>
      <w:r w:rsidR="00302062">
        <w:rPr>
          <w:lang w:val="en-US"/>
        </w:rPr>
        <w:t xml:space="preserve"> (SGE</w:t>
      </w:r>
      <w:r w:rsidR="00F611C2">
        <w:rPr>
          <w:lang w:val="en-US"/>
        </w:rPr>
        <w:t>, RSC, and if relevant the GSC)</w:t>
      </w:r>
      <w:r w:rsidRPr="0000309C">
        <w:rPr>
          <w:lang w:val="en-US"/>
        </w:rPr>
        <w:t xml:space="preserve"> as made relevant by these reports. </w:t>
      </w:r>
    </w:p>
    <w:p w14:paraId="35173D84" w14:textId="225CDC64" w:rsidR="00F45C8E" w:rsidRDefault="00F45C8E" w:rsidP="00F45C8E">
      <w:pPr>
        <w:spacing w:after="0" w:line="240" w:lineRule="auto"/>
        <w:textAlignment w:val="center"/>
        <w:rPr>
          <w:rFonts w:ascii="Calibri" w:eastAsia="Times New Roman" w:hAnsi="Calibri" w:cs="Calibri"/>
          <w:lang w:val="en-US"/>
        </w:rPr>
      </w:pPr>
      <w:r w:rsidRPr="000B2F4A">
        <w:rPr>
          <w:rFonts w:ascii="Calibri" w:eastAsia="Times New Roman" w:hAnsi="Calibri" w:cs="Calibri"/>
          <w:lang w:val="en-US"/>
        </w:rPr>
        <w:t xml:space="preserve">Adoption and further development of digital and innovative solutions should be encouraged to ensure efficient use of resources and tools for </w:t>
      </w:r>
      <w:r>
        <w:rPr>
          <w:rFonts w:ascii="Calibri" w:eastAsia="Times New Roman" w:hAnsi="Calibri" w:cs="Calibri"/>
          <w:lang w:val="en-US"/>
        </w:rPr>
        <w:t xml:space="preserve">Tads control and </w:t>
      </w:r>
      <w:r w:rsidRPr="000B2F4A">
        <w:rPr>
          <w:rFonts w:ascii="Calibri" w:eastAsia="Times New Roman" w:hAnsi="Calibri" w:cs="Calibri"/>
          <w:lang w:val="en-US"/>
        </w:rPr>
        <w:t>capacity development</w:t>
      </w:r>
      <w:r>
        <w:rPr>
          <w:rFonts w:ascii="Calibri" w:eastAsia="Times New Roman" w:hAnsi="Calibri" w:cs="Calibri"/>
          <w:lang w:val="en-US"/>
        </w:rPr>
        <w:t>.</w:t>
      </w:r>
    </w:p>
    <w:p w14:paraId="130EAD33" w14:textId="77777777" w:rsidR="00F45C8E" w:rsidRDefault="00F45C8E" w:rsidP="00C54B30">
      <w:pPr>
        <w:jc w:val="both"/>
        <w:rPr>
          <w:lang w:val="en-US"/>
        </w:rPr>
      </w:pPr>
    </w:p>
    <w:p w14:paraId="65D13808" w14:textId="77777777" w:rsidR="0070373E" w:rsidRDefault="0070373E" w:rsidP="0070373E">
      <w:pPr>
        <w:jc w:val="both"/>
        <w:rPr>
          <w:u w:val="single"/>
          <w:lang w:val="en-US"/>
        </w:rPr>
      </w:pPr>
      <w:r>
        <w:rPr>
          <w:u w:val="single"/>
          <w:lang w:val="en-US"/>
        </w:rPr>
        <w:t>Activities proposed:</w:t>
      </w:r>
    </w:p>
    <w:tbl>
      <w:tblPr>
        <w:tblStyle w:val="TableGrid"/>
        <w:tblW w:w="0" w:type="auto"/>
        <w:tblLook w:val="04A0" w:firstRow="1" w:lastRow="0" w:firstColumn="1" w:lastColumn="0" w:noHBand="0" w:noVBand="1"/>
      </w:tblPr>
      <w:tblGrid>
        <w:gridCol w:w="1271"/>
        <w:gridCol w:w="8074"/>
      </w:tblGrid>
      <w:tr w:rsidR="0012391B" w:rsidRPr="00F11FD9" w14:paraId="363B7060" w14:textId="77777777">
        <w:trPr>
          <w:trHeight w:val="806"/>
        </w:trPr>
        <w:tc>
          <w:tcPr>
            <w:tcW w:w="1271" w:type="dxa"/>
          </w:tcPr>
          <w:p w14:paraId="74B2C25A" w14:textId="3B8EBB0F" w:rsidR="0012391B" w:rsidRPr="009F4D63" w:rsidRDefault="0012391B">
            <w:pPr>
              <w:jc w:val="both"/>
              <w:rPr>
                <w:lang w:val="en-US"/>
              </w:rPr>
            </w:pPr>
            <w:r>
              <w:rPr>
                <w:lang w:val="en-US"/>
              </w:rPr>
              <w:t xml:space="preserve">Example </w:t>
            </w:r>
            <w:r w:rsidRPr="009F4D63">
              <w:rPr>
                <w:lang w:val="en-US"/>
              </w:rPr>
              <w:t>Activit</w:t>
            </w:r>
            <w:r>
              <w:rPr>
                <w:lang w:val="en-US"/>
              </w:rPr>
              <w:t>y</w:t>
            </w:r>
            <w:r w:rsidRPr="009F4D63">
              <w:rPr>
                <w:lang w:val="en-US"/>
              </w:rPr>
              <w:t xml:space="preserve"> proposed:</w:t>
            </w:r>
          </w:p>
        </w:tc>
        <w:tc>
          <w:tcPr>
            <w:tcW w:w="8074" w:type="dxa"/>
          </w:tcPr>
          <w:p w14:paraId="08D6DF26" w14:textId="56AFBBEB" w:rsidR="0012391B" w:rsidRPr="00DA3FFF" w:rsidRDefault="0012391B" w:rsidP="007A2F75">
            <w:pPr>
              <w:jc w:val="both"/>
              <w:rPr>
                <w:lang w:val="en-US"/>
              </w:rPr>
            </w:pPr>
            <w:r w:rsidRPr="00DA3FFF">
              <w:rPr>
                <w:lang w:val="en-US"/>
              </w:rPr>
              <w:t xml:space="preserve">Participate in the finalization and implementation of the </w:t>
            </w:r>
            <w:r w:rsidR="00860962" w:rsidRPr="00DA3FFF">
              <w:rPr>
                <w:lang w:val="en-US"/>
              </w:rPr>
              <w:t>monitoring and evaluation (</w:t>
            </w:r>
            <w:r w:rsidRPr="00DA3FFF">
              <w:rPr>
                <w:lang w:val="en-US"/>
              </w:rPr>
              <w:t>M&amp;E</w:t>
            </w:r>
            <w:r w:rsidR="00860962" w:rsidRPr="00DA3FFF">
              <w:rPr>
                <w:lang w:val="en-US"/>
              </w:rPr>
              <w:t>)</w:t>
            </w:r>
            <w:r w:rsidRPr="00DA3FFF">
              <w:rPr>
                <w:lang w:val="en-US"/>
              </w:rPr>
              <w:t xml:space="preserve"> framework for ASF</w:t>
            </w:r>
          </w:p>
        </w:tc>
      </w:tr>
    </w:tbl>
    <w:p w14:paraId="284A69C9" w14:textId="77777777" w:rsidR="0070373E" w:rsidRPr="0000309C" w:rsidRDefault="0070373E" w:rsidP="00C54B30">
      <w:pPr>
        <w:jc w:val="both"/>
        <w:rPr>
          <w:lang w:val="en-US"/>
        </w:rPr>
      </w:pPr>
    </w:p>
    <w:p w14:paraId="1241CC84" w14:textId="06E88A2D" w:rsidR="009557A0" w:rsidRPr="0000309C" w:rsidRDefault="009557A0" w:rsidP="003E24F7">
      <w:pPr>
        <w:pStyle w:val="Heading1"/>
        <w:numPr>
          <w:ilvl w:val="0"/>
          <w:numId w:val="3"/>
        </w:numPr>
        <w:rPr>
          <w:lang w:val="en-US"/>
        </w:rPr>
      </w:pPr>
      <w:r w:rsidRPr="0000309C">
        <w:rPr>
          <w:lang w:val="en-US"/>
        </w:rPr>
        <w:t>Stakeholder engagement</w:t>
      </w:r>
    </w:p>
    <w:p w14:paraId="220999BF" w14:textId="0CB1E6D5" w:rsidR="009557A0" w:rsidRPr="0000309C" w:rsidRDefault="00D61DB6" w:rsidP="003E24F7">
      <w:pPr>
        <w:pStyle w:val="Heading2"/>
        <w:numPr>
          <w:ilvl w:val="1"/>
          <w:numId w:val="3"/>
        </w:numPr>
        <w:rPr>
          <w:lang w:val="en-US"/>
        </w:rPr>
      </w:pPr>
      <w:r w:rsidRPr="0000309C">
        <w:rPr>
          <w:lang w:val="en-US"/>
        </w:rPr>
        <w:t>Strengthen</w:t>
      </w:r>
      <w:r w:rsidR="009557A0" w:rsidRPr="0000309C">
        <w:rPr>
          <w:lang w:val="en-US"/>
        </w:rPr>
        <w:t xml:space="preserve"> engagement and coordination with relevant stakeholders, including the private sector </w:t>
      </w:r>
    </w:p>
    <w:p w14:paraId="6E670759" w14:textId="77777777" w:rsidR="00CB22B3" w:rsidRPr="0000309C" w:rsidRDefault="00CB22B3" w:rsidP="00CB22B3">
      <w:pPr>
        <w:rPr>
          <w:lang w:val="en-US"/>
        </w:rPr>
      </w:pPr>
    </w:p>
    <w:p w14:paraId="51CE75D0" w14:textId="3511B4E1" w:rsidR="00CB22B3" w:rsidRPr="0000309C" w:rsidRDefault="00765686" w:rsidP="00CD4558">
      <w:pPr>
        <w:jc w:val="both"/>
        <w:rPr>
          <w:lang w:val="en-US"/>
        </w:rPr>
      </w:pPr>
      <w:r w:rsidRPr="0000309C">
        <w:rPr>
          <w:lang w:val="en-US"/>
        </w:rPr>
        <w:t xml:space="preserve">Both WOAH and FAO achieve results by engaging with stakeholders in the field and beyond. </w:t>
      </w:r>
      <w:r w:rsidR="004A2EB9" w:rsidRPr="0000309C">
        <w:rPr>
          <w:lang w:val="en-US"/>
        </w:rPr>
        <w:t xml:space="preserve">Interaction with </w:t>
      </w:r>
      <w:r w:rsidRPr="0000309C">
        <w:rPr>
          <w:lang w:val="en-US"/>
        </w:rPr>
        <w:t xml:space="preserve">varied </w:t>
      </w:r>
      <w:r w:rsidR="004A2EB9" w:rsidRPr="0000309C">
        <w:rPr>
          <w:lang w:val="en-US"/>
        </w:rPr>
        <w:t>stakeholders take</w:t>
      </w:r>
      <w:r w:rsidRPr="0000309C">
        <w:rPr>
          <w:lang w:val="en-US"/>
        </w:rPr>
        <w:t>s</w:t>
      </w:r>
      <w:r w:rsidR="004A2EB9" w:rsidRPr="0000309C">
        <w:rPr>
          <w:lang w:val="en-US"/>
        </w:rPr>
        <w:t xml:space="preserve"> different forms</w:t>
      </w:r>
      <w:r w:rsidR="00CB22B3" w:rsidRPr="0000309C">
        <w:rPr>
          <w:lang w:val="en-US"/>
        </w:rPr>
        <w:t xml:space="preserve">: </w:t>
      </w:r>
    </w:p>
    <w:p w14:paraId="35D1C892" w14:textId="76C095DB" w:rsidR="00BB3A09" w:rsidRPr="0000309C" w:rsidRDefault="00765686" w:rsidP="00CD4558">
      <w:pPr>
        <w:pStyle w:val="ListParagraph"/>
        <w:numPr>
          <w:ilvl w:val="0"/>
          <w:numId w:val="8"/>
        </w:numPr>
        <w:jc w:val="both"/>
        <w:rPr>
          <w:lang w:val="en-US"/>
        </w:rPr>
      </w:pPr>
      <w:r w:rsidRPr="0000309C">
        <w:rPr>
          <w:lang w:val="en-US"/>
        </w:rPr>
        <w:t xml:space="preserve">Direct engagement by including </w:t>
      </w:r>
      <w:r w:rsidR="00BB3A09" w:rsidRPr="0000309C">
        <w:rPr>
          <w:lang w:val="en-US"/>
        </w:rPr>
        <w:t>stakeholders</w:t>
      </w:r>
      <w:r w:rsidRPr="0000309C">
        <w:rPr>
          <w:lang w:val="en-US"/>
        </w:rPr>
        <w:t xml:space="preserve"> from </w:t>
      </w:r>
      <w:r w:rsidR="00DB5ABA" w:rsidRPr="0000309C">
        <w:rPr>
          <w:lang w:val="en-US"/>
        </w:rPr>
        <w:t>all relevant actors in the sector (</w:t>
      </w:r>
      <w:r w:rsidR="00A06ECC" w:rsidRPr="0000309C">
        <w:rPr>
          <w:lang w:val="en-US"/>
        </w:rPr>
        <w:t>e.g.,</w:t>
      </w:r>
      <w:r w:rsidR="00C8268A" w:rsidRPr="0000309C">
        <w:rPr>
          <w:lang w:val="en-US"/>
        </w:rPr>
        <w:t xml:space="preserve"> </w:t>
      </w:r>
      <w:r w:rsidR="00860962" w:rsidRPr="0000309C">
        <w:rPr>
          <w:lang w:val="en-US"/>
        </w:rPr>
        <w:t>businesses</w:t>
      </w:r>
      <w:r w:rsidR="00C8268A" w:rsidRPr="0000309C">
        <w:rPr>
          <w:lang w:val="en-US"/>
        </w:rPr>
        <w:t xml:space="preserve">, farmers, </w:t>
      </w:r>
      <w:r w:rsidR="00A06ECC" w:rsidRPr="0000309C">
        <w:rPr>
          <w:lang w:val="en-US"/>
        </w:rPr>
        <w:t>hunters’</w:t>
      </w:r>
      <w:r w:rsidR="00F50380" w:rsidRPr="0000309C">
        <w:rPr>
          <w:lang w:val="en-US"/>
        </w:rPr>
        <w:t xml:space="preserve"> associations</w:t>
      </w:r>
      <w:r w:rsidR="008F5BB5" w:rsidRPr="0000309C">
        <w:rPr>
          <w:lang w:val="en-US"/>
        </w:rPr>
        <w:t xml:space="preserve">, scientific experts, </w:t>
      </w:r>
      <w:r w:rsidR="0040155D" w:rsidRPr="0000309C">
        <w:rPr>
          <w:lang w:val="en-US"/>
        </w:rPr>
        <w:t xml:space="preserve">public research, </w:t>
      </w:r>
      <w:r w:rsidR="00F76C60" w:rsidRPr="0000309C">
        <w:rPr>
          <w:lang w:val="en-US"/>
        </w:rPr>
        <w:t>control authority</w:t>
      </w:r>
      <w:r w:rsidR="00F50380" w:rsidRPr="0000309C">
        <w:rPr>
          <w:lang w:val="en-US"/>
        </w:rPr>
        <w:t>,</w:t>
      </w:r>
      <w:r w:rsidR="00DC15B1" w:rsidRPr="0000309C">
        <w:rPr>
          <w:lang w:val="en-US"/>
        </w:rPr>
        <w:t xml:space="preserve"> donor organizati</w:t>
      </w:r>
      <w:r w:rsidR="007E6814" w:rsidRPr="0000309C">
        <w:rPr>
          <w:lang w:val="en-US"/>
        </w:rPr>
        <w:t>o</w:t>
      </w:r>
      <w:r w:rsidR="00DC15B1" w:rsidRPr="0000309C">
        <w:rPr>
          <w:lang w:val="en-US"/>
        </w:rPr>
        <w:t>ns</w:t>
      </w:r>
      <w:r w:rsidR="007E6814" w:rsidRPr="0000309C">
        <w:rPr>
          <w:lang w:val="en-US"/>
        </w:rPr>
        <w:t>,</w:t>
      </w:r>
      <w:r w:rsidR="00F50380" w:rsidRPr="0000309C">
        <w:rPr>
          <w:lang w:val="en-US"/>
        </w:rPr>
        <w:t xml:space="preserve"> </w:t>
      </w:r>
      <w:proofErr w:type="gramStart"/>
      <w:r w:rsidR="00463C5C">
        <w:rPr>
          <w:lang w:val="en-US"/>
        </w:rPr>
        <w:t>general public</w:t>
      </w:r>
      <w:proofErr w:type="gramEnd"/>
      <w:r w:rsidR="00860962" w:rsidRPr="0000309C">
        <w:rPr>
          <w:lang w:val="en-US"/>
        </w:rPr>
        <w:t>…)</w:t>
      </w:r>
      <w:r w:rsidR="00860962">
        <w:rPr>
          <w:lang w:val="en-US"/>
        </w:rPr>
        <w:t>,</w:t>
      </w:r>
    </w:p>
    <w:p w14:paraId="742478BD" w14:textId="5541F981" w:rsidR="00CB22B3" w:rsidRPr="0000309C" w:rsidRDefault="00751929" w:rsidP="00CD4558">
      <w:pPr>
        <w:pStyle w:val="ListParagraph"/>
        <w:numPr>
          <w:ilvl w:val="0"/>
          <w:numId w:val="8"/>
        </w:numPr>
        <w:jc w:val="both"/>
        <w:rPr>
          <w:lang w:val="en-US"/>
        </w:rPr>
      </w:pPr>
      <w:r w:rsidRPr="0000309C">
        <w:rPr>
          <w:lang w:val="en-US"/>
        </w:rPr>
        <w:t>M</w:t>
      </w:r>
      <w:r w:rsidR="00BB3A09" w:rsidRPr="0000309C">
        <w:rPr>
          <w:lang w:val="en-US"/>
        </w:rPr>
        <w:t>anuals</w:t>
      </w:r>
      <w:r w:rsidRPr="0000309C">
        <w:rPr>
          <w:lang w:val="en-US"/>
        </w:rPr>
        <w:t xml:space="preserve"> and tools </w:t>
      </w:r>
      <w:r w:rsidR="00A05FCF" w:rsidRPr="0000309C">
        <w:rPr>
          <w:lang w:val="en-US"/>
        </w:rPr>
        <w:t>to help</w:t>
      </w:r>
      <w:r w:rsidRPr="0000309C">
        <w:rPr>
          <w:lang w:val="en-US"/>
        </w:rPr>
        <w:t xml:space="preserve"> develop better interaction with </w:t>
      </w:r>
      <w:r w:rsidR="008B4DEC" w:rsidRPr="0000309C">
        <w:rPr>
          <w:lang w:val="en-US"/>
        </w:rPr>
        <w:t>private stakeholders</w:t>
      </w:r>
      <w:r w:rsidR="00860962">
        <w:rPr>
          <w:lang w:val="en-US"/>
        </w:rPr>
        <w:t>,</w:t>
      </w:r>
      <w:r w:rsidR="00860962" w:rsidRPr="0000309C">
        <w:rPr>
          <w:lang w:val="en-US"/>
        </w:rPr>
        <w:t xml:space="preserve"> </w:t>
      </w:r>
    </w:p>
    <w:p w14:paraId="6D5297B2" w14:textId="5F0DA8F2" w:rsidR="008B4DEC" w:rsidRPr="0000309C" w:rsidRDefault="008B4DEC" w:rsidP="00CD4558">
      <w:pPr>
        <w:pStyle w:val="ListParagraph"/>
        <w:numPr>
          <w:ilvl w:val="0"/>
          <w:numId w:val="8"/>
        </w:numPr>
        <w:jc w:val="both"/>
        <w:rPr>
          <w:lang w:val="en-US"/>
        </w:rPr>
      </w:pPr>
      <w:r w:rsidRPr="0000309C">
        <w:rPr>
          <w:lang w:val="en-US"/>
        </w:rPr>
        <w:t xml:space="preserve">Reference and collaborating centers are associated </w:t>
      </w:r>
      <w:r w:rsidR="00765686" w:rsidRPr="0000309C">
        <w:rPr>
          <w:lang w:val="en-US"/>
        </w:rPr>
        <w:t>with GF</w:t>
      </w:r>
      <w:r w:rsidR="00C65589">
        <w:rPr>
          <w:lang w:val="en-US"/>
        </w:rPr>
        <w:t>-</w:t>
      </w:r>
      <w:r w:rsidR="00765686" w:rsidRPr="0000309C">
        <w:rPr>
          <w:lang w:val="en-US"/>
        </w:rPr>
        <w:t xml:space="preserve">TADs, for instance with Reference center participation in SGEs, </w:t>
      </w:r>
      <w:r w:rsidR="003615F3" w:rsidRPr="0000309C">
        <w:rPr>
          <w:lang w:val="en-US"/>
        </w:rPr>
        <w:t xml:space="preserve">and </w:t>
      </w:r>
      <w:r w:rsidRPr="0000309C">
        <w:rPr>
          <w:lang w:val="en-US"/>
        </w:rPr>
        <w:t xml:space="preserve">this effort </w:t>
      </w:r>
      <w:r w:rsidR="003615F3" w:rsidRPr="0000309C">
        <w:rPr>
          <w:lang w:val="en-US"/>
        </w:rPr>
        <w:t>of interaction between reference centers and other stakeholders is encouraged</w:t>
      </w:r>
      <w:r w:rsidRPr="0000309C">
        <w:rPr>
          <w:lang w:val="en-US"/>
        </w:rPr>
        <w:t xml:space="preserve"> in the perspective of successful TADs control</w:t>
      </w:r>
      <w:r w:rsidR="00860962">
        <w:rPr>
          <w:lang w:val="en-US"/>
        </w:rPr>
        <w:t>,</w:t>
      </w:r>
    </w:p>
    <w:p w14:paraId="63C2B6E1" w14:textId="7994E2C7" w:rsidR="0070373E" w:rsidRPr="00A16024" w:rsidRDefault="00765686" w:rsidP="00A16024">
      <w:pPr>
        <w:pStyle w:val="ListParagraph"/>
        <w:numPr>
          <w:ilvl w:val="0"/>
          <w:numId w:val="8"/>
        </w:numPr>
        <w:jc w:val="both"/>
        <w:rPr>
          <w:u w:val="single"/>
          <w:lang w:val="en-US"/>
        </w:rPr>
      </w:pPr>
      <w:r w:rsidRPr="0000309C">
        <w:rPr>
          <w:lang w:val="en-US"/>
        </w:rPr>
        <w:t xml:space="preserve">The development of </w:t>
      </w:r>
      <w:r w:rsidR="00905381" w:rsidRPr="0000309C">
        <w:rPr>
          <w:lang w:val="en-US"/>
        </w:rPr>
        <w:t>case studies</w:t>
      </w:r>
      <w:r w:rsidRPr="0000309C">
        <w:rPr>
          <w:lang w:val="en-US"/>
        </w:rPr>
        <w:t xml:space="preserve">, </w:t>
      </w:r>
      <w:r w:rsidR="00E140DF" w:rsidRPr="0000309C">
        <w:rPr>
          <w:lang w:val="en-US"/>
        </w:rPr>
        <w:t xml:space="preserve">positive examples and good </w:t>
      </w:r>
      <w:r w:rsidR="000F18CB" w:rsidRPr="0000309C">
        <w:rPr>
          <w:lang w:val="en-US"/>
        </w:rPr>
        <w:t>practices</w:t>
      </w:r>
      <w:r w:rsidRPr="0000309C">
        <w:rPr>
          <w:lang w:val="en-US"/>
        </w:rPr>
        <w:t xml:space="preserve"> can be proposed to encourage exchange</w:t>
      </w:r>
      <w:r w:rsidR="00860962">
        <w:rPr>
          <w:lang w:val="en-US"/>
        </w:rPr>
        <w:t>s</w:t>
      </w:r>
      <w:r w:rsidRPr="0000309C">
        <w:rPr>
          <w:lang w:val="en-US"/>
        </w:rPr>
        <w:t xml:space="preserve"> between stakeholders</w:t>
      </w:r>
      <w:r w:rsidR="00265056" w:rsidRPr="0000309C">
        <w:rPr>
          <w:lang w:val="en-US"/>
        </w:rPr>
        <w:t>.</w:t>
      </w:r>
      <w:r w:rsidR="003615F3" w:rsidRPr="0000309C">
        <w:rPr>
          <w:lang w:val="en-US"/>
        </w:rPr>
        <w:t xml:space="preserve"> </w:t>
      </w:r>
    </w:p>
    <w:tbl>
      <w:tblPr>
        <w:tblStyle w:val="TableGrid"/>
        <w:tblW w:w="0" w:type="auto"/>
        <w:tblLook w:val="04A0" w:firstRow="1" w:lastRow="0" w:firstColumn="1" w:lastColumn="0" w:noHBand="0" w:noVBand="1"/>
      </w:tblPr>
      <w:tblGrid>
        <w:gridCol w:w="1271"/>
        <w:gridCol w:w="8074"/>
      </w:tblGrid>
      <w:tr w:rsidR="00AA4294" w:rsidRPr="001965FA" w14:paraId="3CF15EBE" w14:textId="77777777">
        <w:tc>
          <w:tcPr>
            <w:tcW w:w="1271" w:type="dxa"/>
            <w:vMerge w:val="restart"/>
          </w:tcPr>
          <w:p w14:paraId="50BFAF12" w14:textId="77777777" w:rsidR="00AA4294" w:rsidRPr="009F4D63" w:rsidRDefault="00AA4294">
            <w:pPr>
              <w:jc w:val="both"/>
              <w:rPr>
                <w:lang w:val="en-US"/>
              </w:rPr>
            </w:pPr>
            <w:r>
              <w:rPr>
                <w:lang w:val="en-US"/>
              </w:rPr>
              <w:t xml:space="preserve">Example </w:t>
            </w:r>
            <w:r w:rsidRPr="009F4D63">
              <w:rPr>
                <w:lang w:val="en-US"/>
              </w:rPr>
              <w:t>Activities proposed:</w:t>
            </w:r>
          </w:p>
        </w:tc>
        <w:tc>
          <w:tcPr>
            <w:tcW w:w="8074" w:type="dxa"/>
          </w:tcPr>
          <w:p w14:paraId="64AC316F" w14:textId="28C0EDF4" w:rsidR="00AA4294" w:rsidRPr="0083653A" w:rsidRDefault="002D3F68">
            <w:pPr>
              <w:jc w:val="both"/>
              <w:rPr>
                <w:u w:val="single"/>
                <w:lang w:val="en-US"/>
              </w:rPr>
            </w:pPr>
            <w:r>
              <w:rPr>
                <w:u w:val="single"/>
                <w:lang w:val="en-US"/>
              </w:rPr>
              <w:t xml:space="preserve">Create lists of </w:t>
            </w:r>
            <w:r w:rsidR="008762F5">
              <w:rPr>
                <w:u w:val="single"/>
                <w:lang w:val="en-US"/>
              </w:rPr>
              <w:t xml:space="preserve">stakeholders </w:t>
            </w:r>
            <w:r w:rsidR="00341B4C">
              <w:rPr>
                <w:u w:val="single"/>
                <w:lang w:val="en-US"/>
              </w:rPr>
              <w:t xml:space="preserve">that should be </w:t>
            </w:r>
            <w:proofErr w:type="gramStart"/>
            <w:r w:rsidR="008762F5">
              <w:rPr>
                <w:u w:val="single"/>
                <w:lang w:val="en-US"/>
              </w:rPr>
              <w:t>implicated, and</w:t>
            </w:r>
            <w:proofErr w:type="gramEnd"/>
            <w:r w:rsidR="008762F5">
              <w:rPr>
                <w:u w:val="single"/>
                <w:lang w:val="en-US"/>
              </w:rPr>
              <w:t xml:space="preserve"> reach out to those not taking part in relevant activities.</w:t>
            </w:r>
          </w:p>
        </w:tc>
      </w:tr>
      <w:tr w:rsidR="00AA4294" w:rsidRPr="00F11FD9" w14:paraId="14F33A43" w14:textId="77777777">
        <w:tc>
          <w:tcPr>
            <w:tcW w:w="1271" w:type="dxa"/>
            <w:vMerge/>
          </w:tcPr>
          <w:p w14:paraId="12CC7CB0" w14:textId="77777777" w:rsidR="00AA4294" w:rsidRPr="009F4D63" w:rsidRDefault="00AA4294">
            <w:pPr>
              <w:pStyle w:val="ListParagraph"/>
              <w:jc w:val="both"/>
              <w:rPr>
                <w:lang w:val="en-US"/>
              </w:rPr>
            </w:pPr>
          </w:p>
        </w:tc>
        <w:tc>
          <w:tcPr>
            <w:tcW w:w="8074" w:type="dxa"/>
          </w:tcPr>
          <w:p w14:paraId="125B50A3" w14:textId="77777777" w:rsidR="00AA4294" w:rsidRDefault="00DA1547">
            <w:pPr>
              <w:jc w:val="both"/>
              <w:rPr>
                <w:u w:val="single"/>
                <w:lang w:val="en-US"/>
              </w:rPr>
            </w:pPr>
            <w:r>
              <w:rPr>
                <w:u w:val="single"/>
                <w:lang w:val="en-US"/>
              </w:rPr>
              <w:t>Develop manuals specifically meant for</w:t>
            </w:r>
            <w:r w:rsidR="00135D3B">
              <w:rPr>
                <w:u w:val="single"/>
                <w:lang w:val="en-US"/>
              </w:rPr>
              <w:t xml:space="preserve"> private stakeholders in ASF management.</w:t>
            </w:r>
          </w:p>
          <w:p w14:paraId="2296B5E5" w14:textId="77777777" w:rsidR="00463C5C" w:rsidRDefault="00463C5C">
            <w:pPr>
              <w:jc w:val="both"/>
              <w:rPr>
                <w:u w:val="single"/>
                <w:lang w:val="en-US"/>
              </w:rPr>
            </w:pPr>
            <w:r>
              <w:rPr>
                <w:u w:val="single"/>
                <w:lang w:val="en-US"/>
              </w:rPr>
              <w:t>Develop case studies</w:t>
            </w:r>
          </w:p>
          <w:p w14:paraId="0384B3D2" w14:textId="2A173903" w:rsidR="00AA2EB1" w:rsidRPr="0083653A" w:rsidRDefault="00AA2EB1">
            <w:pPr>
              <w:jc w:val="both"/>
              <w:rPr>
                <w:u w:val="single"/>
                <w:lang w:val="en-US"/>
              </w:rPr>
            </w:pPr>
            <w:r>
              <w:rPr>
                <w:u w:val="single"/>
                <w:lang w:val="en-US"/>
              </w:rPr>
              <w:t>Organize workshop</w:t>
            </w:r>
            <w:r w:rsidR="005E5105">
              <w:rPr>
                <w:u w:val="single"/>
                <w:lang w:val="en-US"/>
              </w:rPr>
              <w:t>s</w:t>
            </w:r>
            <w:r>
              <w:rPr>
                <w:u w:val="single"/>
                <w:lang w:val="en-US"/>
              </w:rPr>
              <w:t xml:space="preserve"> </w:t>
            </w:r>
            <w:r w:rsidR="005E5105">
              <w:rPr>
                <w:u w:val="single"/>
                <w:lang w:val="en-US"/>
              </w:rPr>
              <w:t xml:space="preserve">to share </w:t>
            </w:r>
            <w:r w:rsidR="00A967BD">
              <w:rPr>
                <w:u w:val="single"/>
                <w:lang w:val="en-US"/>
              </w:rPr>
              <w:t xml:space="preserve">best practices and </w:t>
            </w:r>
            <w:r w:rsidR="00463C5C">
              <w:rPr>
                <w:u w:val="single"/>
                <w:lang w:val="en-US"/>
              </w:rPr>
              <w:t xml:space="preserve">results of </w:t>
            </w:r>
            <w:r w:rsidR="00E116F7">
              <w:rPr>
                <w:u w:val="single"/>
                <w:lang w:val="en-US"/>
              </w:rPr>
              <w:t xml:space="preserve">positive </w:t>
            </w:r>
            <w:r w:rsidR="00A967BD">
              <w:rPr>
                <w:u w:val="single"/>
                <w:lang w:val="en-US"/>
              </w:rPr>
              <w:t xml:space="preserve">case </w:t>
            </w:r>
            <w:r w:rsidR="00E116F7">
              <w:rPr>
                <w:u w:val="single"/>
                <w:lang w:val="en-US"/>
              </w:rPr>
              <w:t>studies</w:t>
            </w:r>
            <w:r w:rsidR="00372449">
              <w:rPr>
                <w:u w:val="single"/>
                <w:lang w:val="en-US"/>
              </w:rPr>
              <w:t xml:space="preserve"> </w:t>
            </w:r>
          </w:p>
        </w:tc>
      </w:tr>
    </w:tbl>
    <w:p w14:paraId="012093A0" w14:textId="77777777" w:rsidR="00AA4294" w:rsidRPr="00A16024" w:rsidRDefault="00AA4294" w:rsidP="00A16024">
      <w:pPr>
        <w:jc w:val="both"/>
        <w:rPr>
          <w:u w:val="single"/>
          <w:lang w:val="en-US"/>
        </w:rPr>
      </w:pPr>
    </w:p>
    <w:p w14:paraId="76474F8F" w14:textId="77777777" w:rsidR="00CB22B3" w:rsidRPr="0000309C" w:rsidRDefault="00CB22B3" w:rsidP="00CB22B3">
      <w:pPr>
        <w:rPr>
          <w:lang w:val="en-US"/>
        </w:rPr>
      </w:pPr>
    </w:p>
    <w:p w14:paraId="2D83C627" w14:textId="56112572" w:rsidR="003D7C55" w:rsidRPr="0000309C" w:rsidRDefault="003D7C55" w:rsidP="003E24F7">
      <w:pPr>
        <w:pStyle w:val="Heading2"/>
        <w:numPr>
          <w:ilvl w:val="1"/>
          <w:numId w:val="3"/>
        </w:numPr>
        <w:rPr>
          <w:lang w:val="en-US"/>
        </w:rPr>
      </w:pPr>
      <w:r w:rsidRPr="0000309C">
        <w:rPr>
          <w:lang w:val="en-US"/>
        </w:rPr>
        <w:t>Improve the capability of Members to advocate TADs control</w:t>
      </w:r>
    </w:p>
    <w:p w14:paraId="51C511BF" w14:textId="10E73AD3" w:rsidR="00CF0A19" w:rsidRPr="0000309C" w:rsidRDefault="00CF0A19" w:rsidP="00CF0A19">
      <w:pPr>
        <w:rPr>
          <w:lang w:val="en-US"/>
        </w:rPr>
      </w:pPr>
    </w:p>
    <w:p w14:paraId="004A1D6C" w14:textId="57F2ED8C" w:rsidR="00CF0A19" w:rsidRPr="0000309C" w:rsidRDefault="00FC6F14" w:rsidP="00CD4558">
      <w:pPr>
        <w:jc w:val="both"/>
        <w:rPr>
          <w:lang w:val="en-US"/>
        </w:rPr>
      </w:pPr>
      <w:r w:rsidRPr="0000309C">
        <w:rPr>
          <w:lang w:val="en-US"/>
        </w:rPr>
        <w:t>Members generally interact at the Delegate</w:t>
      </w:r>
      <w:r w:rsidR="00860962">
        <w:rPr>
          <w:lang w:val="en-US"/>
        </w:rPr>
        <w:t xml:space="preserve"> or CVO</w:t>
      </w:r>
      <w:r w:rsidRPr="0000309C">
        <w:rPr>
          <w:lang w:val="en-US"/>
        </w:rPr>
        <w:t xml:space="preserve"> </w:t>
      </w:r>
      <w:r w:rsidR="00A06ECC" w:rsidRPr="0000309C">
        <w:rPr>
          <w:lang w:val="en-US"/>
        </w:rPr>
        <w:t>level and</w:t>
      </w:r>
      <w:r w:rsidRPr="0000309C">
        <w:rPr>
          <w:lang w:val="en-US"/>
        </w:rPr>
        <w:t xml:space="preserve"> must use leverage in two directions to better control TADs: towards political and financial decision makers, on the one hand, and towards farmers, hunters, </w:t>
      </w:r>
      <w:r w:rsidR="00860962">
        <w:rPr>
          <w:lang w:val="en-US"/>
        </w:rPr>
        <w:t xml:space="preserve">other </w:t>
      </w:r>
      <w:proofErr w:type="gramStart"/>
      <w:r w:rsidR="00860962">
        <w:rPr>
          <w:lang w:val="en-US"/>
        </w:rPr>
        <w:t>stakeholders</w:t>
      </w:r>
      <w:proofErr w:type="gramEnd"/>
      <w:r w:rsidR="00860962">
        <w:rPr>
          <w:lang w:val="en-US"/>
        </w:rPr>
        <w:t xml:space="preserve"> </w:t>
      </w:r>
      <w:r w:rsidRPr="0000309C">
        <w:rPr>
          <w:lang w:val="en-US"/>
        </w:rPr>
        <w:t xml:space="preserve">and the general public on the other hand. </w:t>
      </w:r>
      <w:r w:rsidR="00B661FD" w:rsidRPr="0000309C">
        <w:rPr>
          <w:lang w:val="en-US"/>
        </w:rPr>
        <w:t xml:space="preserve">To help members </w:t>
      </w:r>
      <w:r w:rsidR="00A05FCF" w:rsidRPr="0000309C">
        <w:rPr>
          <w:lang w:val="en-US"/>
        </w:rPr>
        <w:t>maximize</w:t>
      </w:r>
      <w:r w:rsidR="00B661FD" w:rsidRPr="0000309C">
        <w:rPr>
          <w:lang w:val="en-US"/>
        </w:rPr>
        <w:t xml:space="preserve"> their interactions with stakeholders and progress in TADs control, WOAH and FAO can </w:t>
      </w:r>
      <w:proofErr w:type="gramStart"/>
      <w:r w:rsidR="00B661FD" w:rsidRPr="0000309C">
        <w:rPr>
          <w:lang w:val="en-US"/>
        </w:rPr>
        <w:t>provide</w:t>
      </w:r>
      <w:r w:rsidR="008C7F73" w:rsidRPr="0000309C">
        <w:rPr>
          <w:lang w:val="en-US"/>
        </w:rPr>
        <w:t xml:space="preserve"> </w:t>
      </w:r>
      <w:r w:rsidR="00270390" w:rsidRPr="0000309C">
        <w:rPr>
          <w:lang w:val="en-US"/>
        </w:rPr>
        <w:t>assistance to</w:t>
      </w:r>
      <w:proofErr w:type="gramEnd"/>
      <w:r w:rsidR="00270390" w:rsidRPr="0000309C">
        <w:rPr>
          <w:lang w:val="en-US"/>
        </w:rPr>
        <w:t xml:space="preserve"> members for </w:t>
      </w:r>
      <w:r w:rsidR="00C16B88" w:rsidRPr="0000309C">
        <w:rPr>
          <w:lang w:val="en-US"/>
        </w:rPr>
        <w:t xml:space="preserve">TADs control advocacy: </w:t>
      </w:r>
    </w:p>
    <w:p w14:paraId="57CFB45D" w14:textId="37CF447B" w:rsidR="00C16B88" w:rsidRPr="0000309C" w:rsidRDefault="00C16B88" w:rsidP="00CD4558">
      <w:pPr>
        <w:pStyle w:val="ListParagraph"/>
        <w:numPr>
          <w:ilvl w:val="0"/>
          <w:numId w:val="8"/>
        </w:numPr>
        <w:jc w:val="both"/>
        <w:rPr>
          <w:lang w:val="en-US"/>
        </w:rPr>
      </w:pPr>
      <w:r w:rsidRPr="0000309C">
        <w:rPr>
          <w:lang w:val="en-US"/>
        </w:rPr>
        <w:t>Toolboxes</w:t>
      </w:r>
      <w:r w:rsidR="009D17B3" w:rsidRPr="0000309C">
        <w:rPr>
          <w:lang w:val="en-US"/>
        </w:rPr>
        <w:t>, including practical toolboxes aimed at specific stakeholders (</w:t>
      </w:r>
      <w:r w:rsidR="00A06ECC" w:rsidRPr="0000309C">
        <w:rPr>
          <w:lang w:val="en-US"/>
        </w:rPr>
        <w:t>i.e.,</w:t>
      </w:r>
      <w:r w:rsidR="009D17B3" w:rsidRPr="0000309C">
        <w:rPr>
          <w:lang w:val="en-US"/>
        </w:rPr>
        <w:t xml:space="preserve"> </w:t>
      </w:r>
      <w:r w:rsidR="00B661FD" w:rsidRPr="0000309C">
        <w:rPr>
          <w:lang w:val="en-US"/>
        </w:rPr>
        <w:t>potential toolboxes for hunters on ASF</w:t>
      </w:r>
      <w:r w:rsidR="00860962" w:rsidRPr="0000309C">
        <w:rPr>
          <w:lang w:val="en-US"/>
        </w:rPr>
        <w:t>)</w:t>
      </w:r>
      <w:r w:rsidR="00860962">
        <w:rPr>
          <w:lang w:val="en-US"/>
        </w:rPr>
        <w:t>,</w:t>
      </w:r>
    </w:p>
    <w:p w14:paraId="13D96C7A" w14:textId="2582FE19" w:rsidR="003605D3" w:rsidRPr="0000309C" w:rsidRDefault="00C16B88" w:rsidP="00CD4558">
      <w:pPr>
        <w:pStyle w:val="ListParagraph"/>
        <w:numPr>
          <w:ilvl w:val="0"/>
          <w:numId w:val="8"/>
        </w:numPr>
        <w:jc w:val="both"/>
        <w:rPr>
          <w:lang w:val="en-US"/>
        </w:rPr>
      </w:pPr>
      <w:r w:rsidRPr="0000309C">
        <w:rPr>
          <w:lang w:val="en-US"/>
        </w:rPr>
        <w:t xml:space="preserve">Workshops on communication with </w:t>
      </w:r>
      <w:r w:rsidR="003605D3" w:rsidRPr="0000309C">
        <w:rPr>
          <w:lang w:val="en-US"/>
        </w:rPr>
        <w:t>decision makers</w:t>
      </w:r>
      <w:r w:rsidR="00B661FD" w:rsidRPr="0000309C">
        <w:rPr>
          <w:lang w:val="en-US"/>
        </w:rPr>
        <w:t>; w</w:t>
      </w:r>
      <w:r w:rsidR="00AB1AFA" w:rsidRPr="0000309C">
        <w:rPr>
          <w:lang w:val="en-US"/>
        </w:rPr>
        <w:t>orkshops on communication with the public</w:t>
      </w:r>
      <w:r w:rsidR="00860962">
        <w:rPr>
          <w:lang w:val="en-US"/>
        </w:rPr>
        <w:t>,</w:t>
      </w:r>
    </w:p>
    <w:p w14:paraId="5D4EDB27" w14:textId="77777777" w:rsidR="007C6B25" w:rsidRDefault="00B661FD" w:rsidP="00CD4558">
      <w:pPr>
        <w:pStyle w:val="ListParagraph"/>
        <w:numPr>
          <w:ilvl w:val="0"/>
          <w:numId w:val="8"/>
        </w:numPr>
        <w:jc w:val="both"/>
        <w:rPr>
          <w:lang w:val="en-US"/>
        </w:rPr>
      </w:pPr>
      <w:r w:rsidRPr="0000309C">
        <w:rPr>
          <w:lang w:val="en-US"/>
        </w:rPr>
        <w:t xml:space="preserve">Recommendations of the </w:t>
      </w:r>
      <w:r w:rsidR="00EE03EC" w:rsidRPr="0000309C">
        <w:rPr>
          <w:lang w:val="en-US"/>
        </w:rPr>
        <w:t xml:space="preserve">working groups, including the SGEs, can include the advocacy for TADs control </w:t>
      </w:r>
    </w:p>
    <w:p w14:paraId="0DEC8D00" w14:textId="6B401007" w:rsidR="0070373E" w:rsidRPr="00A53BC0" w:rsidRDefault="00DB331C" w:rsidP="00A53BC0">
      <w:pPr>
        <w:pStyle w:val="ListParagraph"/>
        <w:numPr>
          <w:ilvl w:val="0"/>
          <w:numId w:val="8"/>
        </w:numPr>
        <w:jc w:val="both"/>
        <w:rPr>
          <w:u w:val="single"/>
          <w:lang w:val="en-US"/>
        </w:rPr>
      </w:pPr>
      <w:r w:rsidRPr="36C17C6A">
        <w:rPr>
          <w:lang w:val="en-US"/>
        </w:rPr>
        <w:t>Regular w</w:t>
      </w:r>
      <w:r w:rsidR="00F21554" w:rsidRPr="36C17C6A">
        <w:rPr>
          <w:lang w:val="en-US"/>
        </w:rPr>
        <w:t xml:space="preserve">ork with </w:t>
      </w:r>
      <w:r w:rsidR="00075EB8" w:rsidRPr="36C17C6A">
        <w:rPr>
          <w:lang w:val="en-US"/>
        </w:rPr>
        <w:t xml:space="preserve">governance partners, including  </w:t>
      </w:r>
      <w:r w:rsidR="00860962" w:rsidRPr="36C17C6A">
        <w:rPr>
          <w:lang w:val="en-US"/>
        </w:rPr>
        <w:t>R</w:t>
      </w:r>
      <w:r w:rsidR="00075EB8" w:rsidRPr="36C17C6A">
        <w:rPr>
          <w:lang w:val="en-US"/>
        </w:rPr>
        <w:t xml:space="preserve">egional </w:t>
      </w:r>
      <w:r w:rsidR="00860962" w:rsidRPr="36C17C6A">
        <w:rPr>
          <w:lang w:val="en-US"/>
        </w:rPr>
        <w:t>Specialized O</w:t>
      </w:r>
      <w:r w:rsidR="00075EB8" w:rsidRPr="36C17C6A">
        <w:rPr>
          <w:lang w:val="en-US"/>
        </w:rPr>
        <w:t>rganizations</w:t>
      </w:r>
      <w:r w:rsidR="00860962" w:rsidRPr="36C17C6A">
        <w:rPr>
          <w:lang w:val="en-US"/>
        </w:rPr>
        <w:t xml:space="preserve"> (RSOs)</w:t>
      </w:r>
      <w:r w:rsidR="00075EB8" w:rsidRPr="36C17C6A">
        <w:rPr>
          <w:lang w:val="en-US"/>
        </w:rPr>
        <w:t xml:space="preserve">, </w:t>
      </w:r>
      <w:r w:rsidR="005E5F55" w:rsidRPr="36C17C6A">
        <w:rPr>
          <w:lang w:val="en-US"/>
        </w:rPr>
        <w:t>to support better advocacy</w:t>
      </w:r>
      <w:r w:rsidR="00B9054C" w:rsidRPr="36C17C6A">
        <w:rPr>
          <w:lang w:val="en-US"/>
        </w:rPr>
        <w:t xml:space="preserve"> </w:t>
      </w:r>
      <w:r w:rsidR="002A52F4" w:rsidRPr="36C17C6A">
        <w:rPr>
          <w:lang w:val="en-US"/>
        </w:rPr>
        <w:t>(EU, EE</w:t>
      </w:r>
      <w:r w:rsidR="00A82300" w:rsidRPr="36C17C6A">
        <w:rPr>
          <w:lang w:val="en-US"/>
        </w:rPr>
        <w:t>C</w:t>
      </w:r>
      <w:r w:rsidR="00C9142B" w:rsidRPr="36C17C6A">
        <w:rPr>
          <w:lang w:val="en-US"/>
        </w:rPr>
        <w:t>,</w:t>
      </w:r>
      <w:r w:rsidR="002A52F4" w:rsidRPr="36C17C6A">
        <w:rPr>
          <w:lang w:val="en-US"/>
        </w:rPr>
        <w:t xml:space="preserve"> </w:t>
      </w:r>
      <w:r w:rsidR="00B02ED3" w:rsidRPr="36C17C6A">
        <w:rPr>
          <w:lang w:val="en-US"/>
        </w:rPr>
        <w:t xml:space="preserve">European reconstruction and development bank, </w:t>
      </w:r>
      <w:r w:rsidR="0041424E" w:rsidRPr="36C17C6A">
        <w:rPr>
          <w:lang w:val="en-US"/>
        </w:rPr>
        <w:t xml:space="preserve">Asian </w:t>
      </w:r>
      <w:r w:rsidR="009C7235" w:rsidRPr="36C17C6A">
        <w:rPr>
          <w:lang w:val="en-US"/>
        </w:rPr>
        <w:t>D</w:t>
      </w:r>
      <w:r w:rsidR="0041424E" w:rsidRPr="36C17C6A">
        <w:rPr>
          <w:lang w:val="en-US"/>
        </w:rPr>
        <w:t xml:space="preserve">evelopment </w:t>
      </w:r>
      <w:r w:rsidR="00A06ECC" w:rsidRPr="36C17C6A">
        <w:rPr>
          <w:lang w:val="en-US"/>
        </w:rPr>
        <w:t>Bank,</w:t>
      </w:r>
      <w:r w:rsidR="0041424E" w:rsidRPr="36C17C6A">
        <w:rPr>
          <w:lang w:val="en-US"/>
        </w:rPr>
        <w:t xml:space="preserve"> </w:t>
      </w:r>
      <w:r w:rsidR="00A05FCF" w:rsidRPr="36C17C6A">
        <w:rPr>
          <w:lang w:val="en-US"/>
        </w:rPr>
        <w:t>etc.</w:t>
      </w:r>
      <w:r w:rsidR="0041424E" w:rsidRPr="36C17C6A">
        <w:rPr>
          <w:lang w:val="en-US"/>
        </w:rPr>
        <w:t>)</w:t>
      </w:r>
      <w:r w:rsidR="00B9054C" w:rsidRPr="36C17C6A">
        <w:rPr>
          <w:lang w:val="en-US"/>
        </w:rPr>
        <w:t>.</w:t>
      </w:r>
    </w:p>
    <w:tbl>
      <w:tblPr>
        <w:tblStyle w:val="TableGrid"/>
        <w:tblW w:w="0" w:type="auto"/>
        <w:tblLook w:val="04A0" w:firstRow="1" w:lastRow="0" w:firstColumn="1" w:lastColumn="0" w:noHBand="0" w:noVBand="1"/>
      </w:tblPr>
      <w:tblGrid>
        <w:gridCol w:w="1271"/>
        <w:gridCol w:w="8074"/>
      </w:tblGrid>
      <w:tr w:rsidR="00005AFF" w:rsidRPr="00F11FD9" w14:paraId="542ED4F2" w14:textId="77777777">
        <w:tc>
          <w:tcPr>
            <w:tcW w:w="1271" w:type="dxa"/>
          </w:tcPr>
          <w:p w14:paraId="2B8CBB3E" w14:textId="77777777" w:rsidR="00005AFF" w:rsidRPr="009F4D63" w:rsidRDefault="00005AFF">
            <w:pPr>
              <w:jc w:val="both"/>
              <w:rPr>
                <w:lang w:val="en-US"/>
              </w:rPr>
            </w:pPr>
            <w:r>
              <w:rPr>
                <w:lang w:val="en-US"/>
              </w:rPr>
              <w:t xml:space="preserve">Example </w:t>
            </w:r>
            <w:r w:rsidRPr="009F4D63">
              <w:rPr>
                <w:lang w:val="en-US"/>
              </w:rPr>
              <w:t>Activities proposed:</w:t>
            </w:r>
          </w:p>
        </w:tc>
        <w:tc>
          <w:tcPr>
            <w:tcW w:w="8074" w:type="dxa"/>
          </w:tcPr>
          <w:p w14:paraId="50F7F996" w14:textId="34717DA1" w:rsidR="00005AFF" w:rsidRPr="0083653A" w:rsidRDefault="00005AFF">
            <w:pPr>
              <w:jc w:val="both"/>
              <w:rPr>
                <w:u w:val="single"/>
                <w:lang w:val="en-US"/>
              </w:rPr>
            </w:pPr>
            <w:r>
              <w:rPr>
                <w:u w:val="single"/>
                <w:lang w:val="en-US"/>
              </w:rPr>
              <w:t>Create toolbox</w:t>
            </w:r>
            <w:r w:rsidR="00614CEF">
              <w:rPr>
                <w:u w:val="single"/>
                <w:lang w:val="en-US"/>
              </w:rPr>
              <w:t>es</w:t>
            </w:r>
            <w:r>
              <w:rPr>
                <w:u w:val="single"/>
                <w:lang w:val="en-US"/>
              </w:rPr>
              <w:t xml:space="preserve"> for communication material </w:t>
            </w:r>
            <w:r w:rsidR="007E776E">
              <w:rPr>
                <w:u w:val="single"/>
                <w:lang w:val="en-US"/>
              </w:rPr>
              <w:t xml:space="preserve"> </w:t>
            </w:r>
            <w:r w:rsidR="001E446A">
              <w:rPr>
                <w:u w:val="single"/>
                <w:lang w:val="en-US"/>
              </w:rPr>
              <w:t>o</w:t>
            </w:r>
            <w:r w:rsidR="007E776E">
              <w:rPr>
                <w:u w:val="single"/>
                <w:lang w:val="en-US"/>
              </w:rPr>
              <w:t>n previously identified gaps</w:t>
            </w:r>
          </w:p>
        </w:tc>
      </w:tr>
    </w:tbl>
    <w:p w14:paraId="591C3197" w14:textId="77777777" w:rsidR="00CF0A19" w:rsidRPr="0000309C" w:rsidRDefault="00CF0A19" w:rsidP="00CF0A19">
      <w:pPr>
        <w:rPr>
          <w:lang w:val="en-US"/>
        </w:rPr>
      </w:pPr>
    </w:p>
    <w:p w14:paraId="6AD6674B" w14:textId="6275D415" w:rsidR="003D7C55" w:rsidRPr="0000309C" w:rsidRDefault="003D7C55" w:rsidP="003E24F7">
      <w:pPr>
        <w:pStyle w:val="Heading2"/>
        <w:numPr>
          <w:ilvl w:val="1"/>
          <w:numId w:val="3"/>
        </w:numPr>
        <w:rPr>
          <w:lang w:val="en-US"/>
        </w:rPr>
      </w:pPr>
      <w:r w:rsidRPr="0000309C">
        <w:rPr>
          <w:lang w:val="en-US"/>
        </w:rPr>
        <w:t xml:space="preserve">Promote sustainable </w:t>
      </w:r>
      <w:r w:rsidR="003E24F7" w:rsidRPr="0000309C">
        <w:rPr>
          <w:lang w:val="en-US"/>
        </w:rPr>
        <w:t>funding mechanisms</w:t>
      </w:r>
    </w:p>
    <w:p w14:paraId="2533B6E2" w14:textId="4563B56F" w:rsidR="00DB331C" w:rsidRPr="0000309C" w:rsidRDefault="00DB331C" w:rsidP="00DB331C">
      <w:pPr>
        <w:rPr>
          <w:lang w:val="en-US"/>
        </w:rPr>
      </w:pPr>
    </w:p>
    <w:p w14:paraId="5C6E9110" w14:textId="25C202BD" w:rsidR="00DB331C" w:rsidRPr="0000309C" w:rsidRDefault="00DB331C" w:rsidP="00CD4558">
      <w:pPr>
        <w:jc w:val="both"/>
        <w:rPr>
          <w:lang w:val="en-US"/>
        </w:rPr>
      </w:pPr>
      <w:r w:rsidRPr="0000309C">
        <w:rPr>
          <w:lang w:val="en-US"/>
        </w:rPr>
        <w:t xml:space="preserve">Funding, both permanent and project based, is an essential part of </w:t>
      </w:r>
      <w:r w:rsidR="00452620" w:rsidRPr="0000309C">
        <w:rPr>
          <w:lang w:val="en-US"/>
        </w:rPr>
        <w:t>achieving consistent long-term results in the fight against animal disease</w:t>
      </w:r>
      <w:r w:rsidR="00B6776C">
        <w:rPr>
          <w:lang w:val="en-US"/>
        </w:rPr>
        <w:t>s</w:t>
      </w:r>
      <w:r w:rsidR="00452620" w:rsidRPr="0000309C">
        <w:rPr>
          <w:lang w:val="en-US"/>
        </w:rPr>
        <w:t>. Providing adapted guidance and support to Members includes:</w:t>
      </w:r>
    </w:p>
    <w:p w14:paraId="14BD4BCA" w14:textId="72FA9EB9" w:rsidR="00DE15A7" w:rsidRPr="0000309C" w:rsidRDefault="00115C8C" w:rsidP="00CD4558">
      <w:pPr>
        <w:pStyle w:val="ListParagraph"/>
        <w:numPr>
          <w:ilvl w:val="0"/>
          <w:numId w:val="7"/>
        </w:numPr>
        <w:jc w:val="both"/>
        <w:rPr>
          <w:lang w:val="en-US"/>
        </w:rPr>
      </w:pPr>
      <w:r w:rsidRPr="0000309C">
        <w:rPr>
          <w:lang w:val="en-US"/>
        </w:rPr>
        <w:t xml:space="preserve">interaction with </w:t>
      </w:r>
      <w:r w:rsidR="00860962">
        <w:rPr>
          <w:lang w:val="en-US"/>
        </w:rPr>
        <w:t>RSOs</w:t>
      </w:r>
      <w:r w:rsidRPr="0000309C">
        <w:rPr>
          <w:lang w:val="en-US"/>
        </w:rPr>
        <w:t xml:space="preserve"> for funding of </w:t>
      </w:r>
      <w:r w:rsidR="00423519" w:rsidRPr="0000309C">
        <w:rPr>
          <w:lang w:val="en-US"/>
        </w:rPr>
        <w:t xml:space="preserve">regional TADs </w:t>
      </w:r>
      <w:r w:rsidRPr="0000309C">
        <w:rPr>
          <w:lang w:val="en-US"/>
        </w:rPr>
        <w:t>projects related to TADs</w:t>
      </w:r>
      <w:r w:rsidR="00025BAF" w:rsidRPr="0000309C">
        <w:rPr>
          <w:lang w:val="en-US"/>
        </w:rPr>
        <w:t xml:space="preserve"> and </w:t>
      </w:r>
      <w:r w:rsidR="00F729AF" w:rsidRPr="0000309C">
        <w:rPr>
          <w:lang w:val="en-US"/>
        </w:rPr>
        <w:t xml:space="preserve">focus on multi-year funding to ensure a more </w:t>
      </w:r>
      <w:r w:rsidR="00BC16D5" w:rsidRPr="0000309C">
        <w:rPr>
          <w:lang w:val="en-US"/>
        </w:rPr>
        <w:t xml:space="preserve">sustainable </w:t>
      </w:r>
      <w:r w:rsidR="00380515" w:rsidRPr="0000309C">
        <w:rPr>
          <w:lang w:val="en-US"/>
        </w:rPr>
        <w:t>mechanism</w:t>
      </w:r>
      <w:r w:rsidR="00860962">
        <w:rPr>
          <w:lang w:val="en-US"/>
        </w:rPr>
        <w:t>,</w:t>
      </w:r>
    </w:p>
    <w:p w14:paraId="4F8408F3" w14:textId="13A8155F" w:rsidR="00594241" w:rsidRPr="0081720B" w:rsidRDefault="00A34D3D" w:rsidP="00A53BC0">
      <w:pPr>
        <w:pStyle w:val="ListParagraph"/>
        <w:numPr>
          <w:ilvl w:val="0"/>
          <w:numId w:val="7"/>
        </w:numPr>
        <w:jc w:val="both"/>
        <w:rPr>
          <w:lang w:val="en-US"/>
        </w:rPr>
      </w:pPr>
      <w:r w:rsidRPr="0000309C">
        <w:rPr>
          <w:lang w:val="en-US"/>
        </w:rPr>
        <w:t>stress the importance of multi-year funding of activities, including at national level, to countries in the framework of regional action (</w:t>
      </w:r>
      <w:r w:rsidR="00A06ECC" w:rsidRPr="0000309C">
        <w:rPr>
          <w:lang w:val="en-US"/>
        </w:rPr>
        <w:t>e.g.,</w:t>
      </w:r>
      <w:r w:rsidRPr="0000309C">
        <w:rPr>
          <w:lang w:val="en-US"/>
        </w:rPr>
        <w:t xml:space="preserve"> ORV in the </w:t>
      </w:r>
      <w:r w:rsidR="00423519" w:rsidRPr="0000309C">
        <w:rPr>
          <w:lang w:val="en-US"/>
        </w:rPr>
        <w:t>W</w:t>
      </w:r>
      <w:r w:rsidRPr="0000309C">
        <w:rPr>
          <w:lang w:val="en-US"/>
        </w:rPr>
        <w:t>estern Balkans)</w:t>
      </w:r>
      <w:r w:rsidR="005B1E7D" w:rsidRPr="0000309C">
        <w:rPr>
          <w:lang w:val="en-US"/>
        </w:rPr>
        <w:t>.</w:t>
      </w:r>
      <w:r w:rsidRPr="0000309C">
        <w:rPr>
          <w:lang w:val="en-US"/>
        </w:rPr>
        <w:t xml:space="preserve"> </w:t>
      </w:r>
    </w:p>
    <w:tbl>
      <w:tblPr>
        <w:tblStyle w:val="TableGrid"/>
        <w:tblW w:w="0" w:type="auto"/>
        <w:tblLook w:val="04A0" w:firstRow="1" w:lastRow="0" w:firstColumn="1" w:lastColumn="0" w:noHBand="0" w:noVBand="1"/>
      </w:tblPr>
      <w:tblGrid>
        <w:gridCol w:w="1271"/>
        <w:gridCol w:w="8074"/>
      </w:tblGrid>
      <w:tr w:rsidR="00910A56" w:rsidRPr="00F11FD9" w14:paraId="434C8842" w14:textId="77777777">
        <w:trPr>
          <w:trHeight w:val="816"/>
        </w:trPr>
        <w:tc>
          <w:tcPr>
            <w:tcW w:w="1271" w:type="dxa"/>
          </w:tcPr>
          <w:p w14:paraId="6C6792C4" w14:textId="77777777" w:rsidR="00910A56" w:rsidRPr="009F4D63" w:rsidRDefault="00910A56">
            <w:pPr>
              <w:jc w:val="both"/>
              <w:rPr>
                <w:lang w:val="en-US"/>
              </w:rPr>
            </w:pPr>
            <w:r>
              <w:rPr>
                <w:lang w:val="en-US"/>
              </w:rPr>
              <w:t xml:space="preserve">Example </w:t>
            </w:r>
            <w:r w:rsidRPr="009F4D63">
              <w:rPr>
                <w:lang w:val="en-US"/>
              </w:rPr>
              <w:t>Activities proposed:</w:t>
            </w:r>
          </w:p>
        </w:tc>
        <w:tc>
          <w:tcPr>
            <w:tcW w:w="8074" w:type="dxa"/>
          </w:tcPr>
          <w:p w14:paraId="5C76594B" w14:textId="46599D1D" w:rsidR="00910A56" w:rsidRPr="0083653A" w:rsidRDefault="00910A56">
            <w:pPr>
              <w:jc w:val="both"/>
              <w:rPr>
                <w:u w:val="single"/>
                <w:lang w:val="en-US"/>
              </w:rPr>
            </w:pPr>
            <w:r>
              <w:rPr>
                <w:u w:val="single"/>
                <w:lang w:val="en-US"/>
              </w:rPr>
              <w:t xml:space="preserve">Ensure efficient accountability to promote renewed funding, including by ensuring systematic reporting on outcomes to relevant donor organizations. </w:t>
            </w:r>
          </w:p>
        </w:tc>
      </w:tr>
    </w:tbl>
    <w:p w14:paraId="636B1F52" w14:textId="77777777" w:rsidR="00682D6C" w:rsidRDefault="00682D6C" w:rsidP="00D03D2E">
      <w:pPr>
        <w:rPr>
          <w:lang w:val="en-US"/>
        </w:rPr>
      </w:pPr>
    </w:p>
    <w:p w14:paraId="732B27A3" w14:textId="1FB44FEE" w:rsidR="00682D6C" w:rsidRPr="0000309C" w:rsidRDefault="00682D6C" w:rsidP="00D03D2E">
      <w:pPr>
        <w:rPr>
          <w:lang w:val="en-US"/>
        </w:rPr>
        <w:sectPr w:rsidR="00682D6C" w:rsidRPr="0000309C" w:rsidSect="005A2EE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14:paraId="2A32B641" w14:textId="6A8F1052" w:rsidR="0012391B" w:rsidRDefault="0012391B" w:rsidP="00A53BC0">
      <w:pPr>
        <w:pStyle w:val="Heading1"/>
        <w:rPr>
          <w:lang w:val="en-US"/>
        </w:rPr>
      </w:pPr>
      <w:r w:rsidRPr="0000309C">
        <w:rPr>
          <w:lang w:val="en-US"/>
        </w:rPr>
        <w:t xml:space="preserve">Annex </w:t>
      </w:r>
      <w:r w:rsidR="00A16024">
        <w:rPr>
          <w:lang w:val="en-US"/>
        </w:rPr>
        <w:t>1</w:t>
      </w:r>
      <w:r w:rsidRPr="0000309C">
        <w:rPr>
          <w:lang w:val="en-US"/>
        </w:rPr>
        <w:t xml:space="preserve"> coordinated activities timetable – sample for 2022 and 2023, for extension for subsequent years</w:t>
      </w:r>
    </w:p>
    <w:p w14:paraId="7686B7B2" w14:textId="77777777" w:rsidR="0012391B" w:rsidRDefault="0012391B" w:rsidP="0012391B">
      <w:pPr>
        <w:rPr>
          <w:lang w:val="en-US"/>
        </w:rPr>
      </w:pPr>
      <w:r w:rsidRPr="1B29F33B">
        <w:rPr>
          <w:lang w:val="en-US"/>
        </w:rPr>
        <w:t>Overview of planned coordinated activities</w:t>
      </w:r>
    </w:p>
    <w:tbl>
      <w:tblPr>
        <w:tblStyle w:val="TableGrid"/>
        <w:tblW w:w="13608" w:type="dxa"/>
        <w:tblInd w:w="-15" w:type="dxa"/>
        <w:tblLayout w:type="fixed"/>
        <w:tblLook w:val="04A0" w:firstRow="1" w:lastRow="0" w:firstColumn="1" w:lastColumn="0" w:noHBand="0" w:noVBand="1"/>
      </w:tblPr>
      <w:tblGrid>
        <w:gridCol w:w="3152"/>
        <w:gridCol w:w="1384"/>
        <w:gridCol w:w="1134"/>
        <w:gridCol w:w="1134"/>
        <w:gridCol w:w="1418"/>
        <w:gridCol w:w="1417"/>
        <w:gridCol w:w="1276"/>
        <w:gridCol w:w="1276"/>
        <w:gridCol w:w="1417"/>
      </w:tblGrid>
      <w:tr w:rsidR="0012391B" w:rsidRPr="0000309C" w14:paraId="26A95B9F" w14:textId="77777777" w:rsidTr="00A53BC0">
        <w:trPr>
          <w:trHeight w:val="138"/>
          <w:tblHeader/>
        </w:trPr>
        <w:tc>
          <w:tcPr>
            <w:tcW w:w="3152" w:type="dxa"/>
            <w:vMerge w:val="restart"/>
            <w:tcBorders>
              <w:top w:val="single" w:sz="12" w:space="0" w:color="auto"/>
              <w:left w:val="single" w:sz="12" w:space="0" w:color="auto"/>
              <w:bottom w:val="single" w:sz="12" w:space="0" w:color="auto"/>
              <w:right w:val="single" w:sz="12" w:space="0" w:color="auto"/>
            </w:tcBorders>
            <w:shd w:val="clear" w:color="auto" w:fill="A50021"/>
            <w:vAlign w:val="center"/>
          </w:tcPr>
          <w:p w14:paraId="294230EF" w14:textId="16E95260" w:rsidR="0012391B" w:rsidRPr="0000309C" w:rsidRDefault="0012391B">
            <w:pPr>
              <w:pStyle w:val="ListParagraph"/>
              <w:ind w:left="0"/>
              <w:jc w:val="center"/>
              <w:rPr>
                <w:rFonts w:cs="Tahoma"/>
                <w:b/>
                <w:sz w:val="16"/>
                <w:szCs w:val="16"/>
                <w:lang w:val="en-US"/>
              </w:rPr>
            </w:pPr>
            <w:r w:rsidRPr="0000309C">
              <w:rPr>
                <w:rFonts w:cs="Tahoma"/>
                <w:b/>
                <w:sz w:val="16"/>
                <w:szCs w:val="16"/>
                <w:lang w:val="en-US"/>
              </w:rPr>
              <w:t>Activities of the GF</w:t>
            </w:r>
            <w:r w:rsidR="00C65589">
              <w:rPr>
                <w:rFonts w:cs="Tahoma"/>
                <w:b/>
                <w:sz w:val="16"/>
                <w:szCs w:val="16"/>
                <w:lang w:val="en-US"/>
              </w:rPr>
              <w:t>-</w:t>
            </w:r>
            <w:r w:rsidRPr="0000309C">
              <w:rPr>
                <w:rFonts w:cs="Tahoma"/>
                <w:b/>
                <w:sz w:val="16"/>
                <w:szCs w:val="16"/>
                <w:lang w:val="en-US"/>
              </w:rPr>
              <w:t>TADs for Europe</w:t>
            </w:r>
          </w:p>
        </w:tc>
        <w:tc>
          <w:tcPr>
            <w:tcW w:w="5070" w:type="dxa"/>
            <w:gridSpan w:val="4"/>
            <w:tcBorders>
              <w:top w:val="single" w:sz="12" w:space="0" w:color="auto"/>
              <w:left w:val="single" w:sz="12" w:space="0" w:color="auto"/>
              <w:right w:val="single" w:sz="12" w:space="0" w:color="auto"/>
            </w:tcBorders>
            <w:shd w:val="clear" w:color="auto" w:fill="A50021"/>
            <w:vAlign w:val="center"/>
          </w:tcPr>
          <w:p w14:paraId="6B5C11AB" w14:textId="77777777" w:rsidR="0012391B" w:rsidRPr="0000309C" w:rsidRDefault="0012391B">
            <w:pPr>
              <w:pStyle w:val="ListParagraph"/>
              <w:ind w:left="0"/>
              <w:jc w:val="center"/>
              <w:rPr>
                <w:rFonts w:cs="Tahoma"/>
                <w:b/>
                <w:bCs/>
                <w:sz w:val="20"/>
                <w:szCs w:val="20"/>
                <w:lang w:val="en-US"/>
              </w:rPr>
            </w:pPr>
            <w:r w:rsidRPr="0000309C">
              <w:rPr>
                <w:rFonts w:cs="Tahoma"/>
                <w:b/>
                <w:bCs/>
                <w:sz w:val="20"/>
                <w:szCs w:val="20"/>
                <w:lang w:val="en-US"/>
              </w:rPr>
              <w:t>2022</w:t>
            </w:r>
          </w:p>
        </w:tc>
        <w:tc>
          <w:tcPr>
            <w:tcW w:w="5386" w:type="dxa"/>
            <w:gridSpan w:val="4"/>
            <w:tcBorders>
              <w:top w:val="single" w:sz="12" w:space="0" w:color="auto"/>
              <w:left w:val="single" w:sz="12" w:space="0" w:color="auto"/>
              <w:bottom w:val="single" w:sz="4" w:space="0" w:color="auto"/>
              <w:right w:val="single" w:sz="12" w:space="0" w:color="auto"/>
            </w:tcBorders>
            <w:shd w:val="clear" w:color="auto" w:fill="A50021"/>
            <w:vAlign w:val="center"/>
          </w:tcPr>
          <w:p w14:paraId="461ECCF3" w14:textId="77777777" w:rsidR="0012391B" w:rsidRPr="0000309C" w:rsidRDefault="0012391B">
            <w:pPr>
              <w:pStyle w:val="ListParagraph"/>
              <w:ind w:left="0"/>
              <w:jc w:val="center"/>
              <w:rPr>
                <w:rFonts w:cs="Tahoma"/>
                <w:b/>
                <w:bCs/>
                <w:sz w:val="20"/>
                <w:szCs w:val="20"/>
                <w:lang w:val="en-US"/>
              </w:rPr>
            </w:pPr>
            <w:r w:rsidRPr="0000309C">
              <w:rPr>
                <w:rFonts w:cs="Tahoma"/>
                <w:b/>
                <w:bCs/>
                <w:sz w:val="20"/>
                <w:szCs w:val="20"/>
                <w:lang w:val="en-US"/>
              </w:rPr>
              <w:t>2023</w:t>
            </w:r>
          </w:p>
        </w:tc>
      </w:tr>
      <w:tr w:rsidR="005A7E02" w:rsidRPr="0000309C" w14:paraId="521F54EC" w14:textId="77777777" w:rsidTr="00A53BC0">
        <w:trPr>
          <w:trHeight w:val="131"/>
          <w:tblHeader/>
        </w:trPr>
        <w:tc>
          <w:tcPr>
            <w:tcW w:w="3152" w:type="dxa"/>
            <w:vMerge/>
          </w:tcPr>
          <w:p w14:paraId="4A2CB854" w14:textId="77777777" w:rsidR="0012391B" w:rsidRPr="0000309C" w:rsidRDefault="0012391B">
            <w:pPr>
              <w:pStyle w:val="ListParagraph"/>
              <w:ind w:left="0"/>
              <w:jc w:val="both"/>
              <w:rPr>
                <w:rFonts w:cs="Tahoma"/>
                <w:b/>
                <w:sz w:val="16"/>
                <w:szCs w:val="16"/>
                <w:lang w:val="en-US"/>
              </w:rPr>
            </w:pPr>
          </w:p>
        </w:tc>
        <w:tc>
          <w:tcPr>
            <w:tcW w:w="1384" w:type="dxa"/>
            <w:tcBorders>
              <w:left w:val="single" w:sz="12" w:space="0" w:color="auto"/>
              <w:bottom w:val="single" w:sz="12" w:space="0" w:color="auto"/>
            </w:tcBorders>
            <w:shd w:val="clear" w:color="auto" w:fill="D9D9D9" w:themeFill="background1" w:themeFillShade="D9"/>
          </w:tcPr>
          <w:p w14:paraId="30A858FD"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Q1</w:t>
            </w:r>
          </w:p>
        </w:tc>
        <w:tc>
          <w:tcPr>
            <w:tcW w:w="1134" w:type="dxa"/>
            <w:tcBorders>
              <w:bottom w:val="single" w:sz="12" w:space="0" w:color="auto"/>
            </w:tcBorders>
            <w:shd w:val="clear" w:color="auto" w:fill="D9D9D9" w:themeFill="background1" w:themeFillShade="D9"/>
          </w:tcPr>
          <w:p w14:paraId="456AC005"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Q2</w:t>
            </w:r>
          </w:p>
        </w:tc>
        <w:tc>
          <w:tcPr>
            <w:tcW w:w="1134" w:type="dxa"/>
            <w:tcBorders>
              <w:bottom w:val="single" w:sz="12" w:space="0" w:color="auto"/>
            </w:tcBorders>
            <w:shd w:val="clear" w:color="auto" w:fill="D9D9D9" w:themeFill="background1" w:themeFillShade="D9"/>
          </w:tcPr>
          <w:p w14:paraId="2B555F0D"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Q3</w:t>
            </w:r>
          </w:p>
        </w:tc>
        <w:tc>
          <w:tcPr>
            <w:tcW w:w="1418" w:type="dxa"/>
            <w:tcBorders>
              <w:bottom w:val="single" w:sz="12" w:space="0" w:color="auto"/>
              <w:right w:val="single" w:sz="12" w:space="0" w:color="auto"/>
            </w:tcBorders>
            <w:shd w:val="clear" w:color="auto" w:fill="D9D9D9" w:themeFill="background1" w:themeFillShade="D9"/>
          </w:tcPr>
          <w:p w14:paraId="052C4A65"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Q4</w:t>
            </w:r>
          </w:p>
        </w:tc>
        <w:tc>
          <w:tcPr>
            <w:tcW w:w="1417" w:type="dxa"/>
            <w:tcBorders>
              <w:left w:val="single" w:sz="12" w:space="0" w:color="auto"/>
              <w:bottom w:val="single" w:sz="12" w:space="0" w:color="auto"/>
            </w:tcBorders>
            <w:shd w:val="clear" w:color="auto" w:fill="D9D9D9" w:themeFill="background1" w:themeFillShade="D9"/>
          </w:tcPr>
          <w:p w14:paraId="0F2EC1E9"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Q1</w:t>
            </w:r>
          </w:p>
        </w:tc>
        <w:tc>
          <w:tcPr>
            <w:tcW w:w="1276" w:type="dxa"/>
            <w:tcBorders>
              <w:bottom w:val="single" w:sz="12" w:space="0" w:color="auto"/>
            </w:tcBorders>
            <w:shd w:val="clear" w:color="auto" w:fill="D9D9D9" w:themeFill="background1" w:themeFillShade="D9"/>
          </w:tcPr>
          <w:p w14:paraId="0FD1CA7C" w14:textId="77777777" w:rsidR="0012391B" w:rsidRPr="00A16024" w:rsidRDefault="0012391B" w:rsidP="00A16024">
            <w:pPr>
              <w:pStyle w:val="ListParagraph"/>
              <w:ind w:left="0"/>
              <w:jc w:val="center"/>
              <w:rPr>
                <w:rFonts w:cs="Tahoma"/>
                <w:b/>
                <w:color w:val="C00000"/>
                <w:sz w:val="16"/>
                <w:szCs w:val="16"/>
                <w:lang w:val="en-US"/>
              </w:rPr>
            </w:pPr>
            <w:r w:rsidRPr="00A16024">
              <w:rPr>
                <w:rFonts w:cs="Tahoma"/>
                <w:b/>
                <w:color w:val="C00000"/>
                <w:sz w:val="16"/>
                <w:szCs w:val="16"/>
                <w:lang w:val="en-US"/>
              </w:rPr>
              <w:t>Q2</w:t>
            </w:r>
          </w:p>
        </w:tc>
        <w:tc>
          <w:tcPr>
            <w:tcW w:w="1276" w:type="dxa"/>
            <w:tcBorders>
              <w:bottom w:val="single" w:sz="12" w:space="0" w:color="auto"/>
            </w:tcBorders>
            <w:shd w:val="clear" w:color="auto" w:fill="D9D9D9" w:themeFill="background1" w:themeFillShade="D9"/>
          </w:tcPr>
          <w:p w14:paraId="7E51AB6B"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Q3</w:t>
            </w:r>
          </w:p>
        </w:tc>
        <w:tc>
          <w:tcPr>
            <w:tcW w:w="1417" w:type="dxa"/>
            <w:tcBorders>
              <w:bottom w:val="single" w:sz="12" w:space="0" w:color="auto"/>
              <w:right w:val="single" w:sz="12" w:space="0" w:color="auto"/>
            </w:tcBorders>
            <w:shd w:val="clear" w:color="auto" w:fill="D9D9D9" w:themeFill="background1" w:themeFillShade="D9"/>
          </w:tcPr>
          <w:p w14:paraId="1E2A26CD" w14:textId="77777777" w:rsidR="0012391B" w:rsidRPr="0000309C" w:rsidRDefault="0012391B">
            <w:pPr>
              <w:pStyle w:val="ListParagraph"/>
              <w:ind w:left="0"/>
              <w:jc w:val="center"/>
              <w:rPr>
                <w:rFonts w:cs="Tahoma"/>
                <w:b/>
                <w:color w:val="C00000"/>
                <w:sz w:val="16"/>
                <w:szCs w:val="16"/>
                <w:lang w:val="en-US"/>
              </w:rPr>
            </w:pPr>
            <w:r w:rsidRPr="0000309C">
              <w:rPr>
                <w:rFonts w:cs="Tahoma"/>
                <w:b/>
                <w:color w:val="C00000"/>
                <w:sz w:val="16"/>
                <w:szCs w:val="16"/>
                <w:lang w:val="en-US"/>
              </w:rPr>
              <w:t>Q4</w:t>
            </w:r>
          </w:p>
        </w:tc>
      </w:tr>
      <w:tr w:rsidR="005A7E02" w:rsidRPr="0000309C" w14:paraId="6CF0E2B7" w14:textId="77777777" w:rsidTr="00A53BC0">
        <w:trPr>
          <w:trHeight w:val="226"/>
        </w:trPr>
        <w:tc>
          <w:tcPr>
            <w:tcW w:w="3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709C265" w14:textId="77777777" w:rsidR="0012391B" w:rsidRPr="0000309C" w:rsidRDefault="0012391B">
            <w:pPr>
              <w:pStyle w:val="ListParagraph"/>
              <w:ind w:left="0"/>
              <w:rPr>
                <w:rFonts w:cs="Tahoma"/>
                <w:b/>
                <w:sz w:val="14"/>
                <w:szCs w:val="14"/>
                <w:lang w:val="en-US"/>
              </w:rPr>
            </w:pPr>
            <w:r w:rsidRPr="0000309C">
              <w:rPr>
                <w:rFonts w:cs="Tahoma"/>
                <w:b/>
                <w:sz w:val="14"/>
                <w:szCs w:val="14"/>
                <w:lang w:val="en-US"/>
              </w:rPr>
              <w:t xml:space="preserve">1 African Swine Fever </w:t>
            </w:r>
            <w:r w:rsidRPr="0000309C">
              <w:rPr>
                <w:rFonts w:cs="Tahoma"/>
                <w:b/>
                <w:bCs/>
                <w:sz w:val="14"/>
                <w:szCs w:val="14"/>
                <w:lang w:val="en-US"/>
              </w:rPr>
              <w:t>- SGE</w:t>
            </w:r>
          </w:p>
        </w:tc>
        <w:tc>
          <w:tcPr>
            <w:tcW w:w="1384" w:type="dxa"/>
            <w:tcBorders>
              <w:top w:val="single" w:sz="12" w:space="0" w:color="auto"/>
              <w:left w:val="single" w:sz="12" w:space="0" w:color="auto"/>
              <w:bottom w:val="single" w:sz="12" w:space="0" w:color="auto"/>
            </w:tcBorders>
            <w:shd w:val="clear" w:color="auto" w:fill="FFFFFF" w:themeFill="background1"/>
            <w:vAlign w:val="center"/>
          </w:tcPr>
          <w:p w14:paraId="6C735C4E" w14:textId="1DD4B3CD" w:rsidR="0012391B" w:rsidRPr="0000309C" w:rsidRDefault="0012391B">
            <w:pPr>
              <w:pStyle w:val="ListParagraph"/>
              <w:ind w:left="0"/>
              <w:jc w:val="center"/>
              <w:rPr>
                <w:rFonts w:cs="Tahoma"/>
                <w:b/>
                <w:bCs/>
                <w:sz w:val="14"/>
                <w:szCs w:val="14"/>
                <w:lang w:val="en-US"/>
              </w:rPr>
            </w:pPr>
            <w:r w:rsidRPr="0000309C">
              <w:rPr>
                <w:rFonts w:cs="Tahoma"/>
                <w:b/>
                <w:bCs/>
                <w:sz w:val="14"/>
                <w:szCs w:val="14"/>
                <w:lang w:val="en-US"/>
              </w:rPr>
              <w:t>SGE ASF</w:t>
            </w:r>
            <w:r w:rsidR="00BC15D7">
              <w:rPr>
                <w:rStyle w:val="FootnoteReference"/>
                <w:rFonts w:cs="Tahoma"/>
                <w:b/>
                <w:bCs/>
                <w:sz w:val="14"/>
                <w:szCs w:val="14"/>
                <w:lang w:val="en-US"/>
              </w:rPr>
              <w:footnoteReference w:id="4"/>
            </w:r>
          </w:p>
        </w:tc>
        <w:tc>
          <w:tcPr>
            <w:tcW w:w="1134" w:type="dxa"/>
            <w:tcBorders>
              <w:top w:val="single" w:sz="12" w:space="0" w:color="auto"/>
              <w:bottom w:val="single" w:sz="12" w:space="0" w:color="auto"/>
            </w:tcBorders>
            <w:shd w:val="clear" w:color="auto" w:fill="FFFFFF" w:themeFill="background1"/>
            <w:vAlign w:val="center"/>
          </w:tcPr>
          <w:p w14:paraId="20A8FE58"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12" w:space="0" w:color="auto"/>
            </w:tcBorders>
            <w:shd w:val="clear" w:color="auto" w:fill="FFFFFF" w:themeFill="background1"/>
            <w:vAlign w:val="center"/>
          </w:tcPr>
          <w:p w14:paraId="0E323FED" w14:textId="77777777" w:rsidR="0012391B" w:rsidRPr="0000309C" w:rsidRDefault="0012391B">
            <w:pPr>
              <w:pStyle w:val="ListParagraph"/>
              <w:ind w:left="0"/>
              <w:jc w:val="center"/>
              <w:rPr>
                <w:rFonts w:cs="Tahoma"/>
                <w:b/>
                <w:bCs/>
                <w:sz w:val="14"/>
                <w:szCs w:val="14"/>
                <w:lang w:val="en-US"/>
              </w:rPr>
            </w:pPr>
            <w:r w:rsidRPr="0000309C">
              <w:rPr>
                <w:rFonts w:cs="Tahoma"/>
                <w:b/>
                <w:bCs/>
                <w:sz w:val="14"/>
                <w:szCs w:val="14"/>
                <w:lang w:val="en-US"/>
              </w:rPr>
              <w:t>SGE ASF</w:t>
            </w:r>
          </w:p>
        </w:tc>
        <w:tc>
          <w:tcPr>
            <w:tcW w:w="1418" w:type="dxa"/>
            <w:tcBorders>
              <w:top w:val="single" w:sz="12" w:space="0" w:color="auto"/>
              <w:bottom w:val="single" w:sz="12" w:space="0" w:color="auto"/>
              <w:right w:val="single" w:sz="12" w:space="0" w:color="auto"/>
            </w:tcBorders>
            <w:shd w:val="clear" w:color="auto" w:fill="FFFFFF" w:themeFill="background1"/>
            <w:vAlign w:val="center"/>
          </w:tcPr>
          <w:p w14:paraId="38CB254A" w14:textId="77777777" w:rsidR="0012391B" w:rsidRPr="0000309C" w:rsidRDefault="0012391B">
            <w:pPr>
              <w:pStyle w:val="ListParagraph"/>
              <w:ind w:left="0"/>
              <w:jc w:val="center"/>
              <w:rPr>
                <w:rFonts w:cs="Tahoma"/>
                <w:b/>
                <w:sz w:val="14"/>
                <w:szCs w:val="14"/>
                <w:lang w:val="en-US"/>
              </w:rPr>
            </w:pPr>
          </w:p>
        </w:tc>
        <w:tc>
          <w:tcPr>
            <w:tcW w:w="1417" w:type="dxa"/>
            <w:tcBorders>
              <w:top w:val="single" w:sz="12" w:space="0" w:color="auto"/>
              <w:left w:val="single" w:sz="12" w:space="0" w:color="auto"/>
              <w:bottom w:val="single" w:sz="12" w:space="0" w:color="auto"/>
            </w:tcBorders>
            <w:shd w:val="clear" w:color="auto" w:fill="FFFFFF" w:themeFill="background1"/>
            <w:vAlign w:val="center"/>
          </w:tcPr>
          <w:p w14:paraId="64625894" w14:textId="77777777" w:rsidR="0012391B" w:rsidRPr="0000309C" w:rsidRDefault="0012391B">
            <w:pPr>
              <w:pStyle w:val="ListParagraph"/>
              <w:ind w:left="0"/>
              <w:jc w:val="center"/>
              <w:rPr>
                <w:rFonts w:cs="Tahoma"/>
                <w:b/>
                <w:sz w:val="14"/>
                <w:szCs w:val="14"/>
                <w:lang w:val="en-US"/>
              </w:rPr>
            </w:pPr>
          </w:p>
        </w:tc>
        <w:tc>
          <w:tcPr>
            <w:tcW w:w="1276" w:type="dxa"/>
            <w:tcBorders>
              <w:top w:val="single" w:sz="12" w:space="0" w:color="auto"/>
              <w:bottom w:val="single" w:sz="12" w:space="0" w:color="auto"/>
            </w:tcBorders>
            <w:shd w:val="clear" w:color="auto" w:fill="FFFFFF" w:themeFill="background1"/>
            <w:vAlign w:val="center"/>
          </w:tcPr>
          <w:p w14:paraId="2BED17A8" w14:textId="77777777" w:rsidR="0012391B" w:rsidRPr="0000309C" w:rsidRDefault="0012391B">
            <w:pPr>
              <w:pStyle w:val="ListParagraph"/>
              <w:ind w:left="0"/>
              <w:jc w:val="center"/>
              <w:rPr>
                <w:rFonts w:cs="Tahoma"/>
                <w:b/>
                <w:bCs/>
                <w:sz w:val="14"/>
                <w:szCs w:val="14"/>
                <w:lang w:val="en-US"/>
              </w:rPr>
            </w:pPr>
            <w:r w:rsidRPr="0000309C">
              <w:rPr>
                <w:rFonts w:cs="Tahoma"/>
                <w:b/>
                <w:bCs/>
                <w:sz w:val="14"/>
                <w:szCs w:val="14"/>
                <w:lang w:val="en-US"/>
              </w:rPr>
              <w:t>SGE ASF</w:t>
            </w:r>
          </w:p>
        </w:tc>
        <w:tc>
          <w:tcPr>
            <w:tcW w:w="1276" w:type="dxa"/>
            <w:shd w:val="clear" w:color="auto" w:fill="FFFFFF" w:themeFill="background1"/>
            <w:vAlign w:val="center"/>
          </w:tcPr>
          <w:p w14:paraId="41B16578" w14:textId="77777777" w:rsidR="0012391B" w:rsidRPr="0000309C" w:rsidRDefault="0012391B">
            <w:pPr>
              <w:pStyle w:val="ListParagraph"/>
              <w:ind w:left="0"/>
              <w:jc w:val="center"/>
              <w:rPr>
                <w:rFonts w:cs="Tahoma"/>
                <w:b/>
                <w:sz w:val="14"/>
                <w:szCs w:val="14"/>
                <w:lang w:val="en-US"/>
              </w:rPr>
            </w:pPr>
          </w:p>
        </w:tc>
        <w:tc>
          <w:tcPr>
            <w:tcW w:w="1417" w:type="dxa"/>
            <w:tcBorders>
              <w:right w:val="single" w:sz="12" w:space="0" w:color="auto"/>
            </w:tcBorders>
            <w:shd w:val="clear" w:color="auto" w:fill="FFFFFF" w:themeFill="background1"/>
            <w:vAlign w:val="center"/>
          </w:tcPr>
          <w:p w14:paraId="4D8E737A" w14:textId="77777777" w:rsidR="0012391B" w:rsidRPr="0000309C" w:rsidRDefault="0012391B">
            <w:pPr>
              <w:pStyle w:val="ListParagraph"/>
              <w:ind w:left="0"/>
              <w:jc w:val="center"/>
              <w:rPr>
                <w:rFonts w:cs="Tahoma"/>
                <w:b/>
                <w:bCs/>
                <w:sz w:val="14"/>
                <w:szCs w:val="14"/>
                <w:lang w:val="en-US"/>
              </w:rPr>
            </w:pPr>
            <w:r w:rsidRPr="0000309C">
              <w:rPr>
                <w:rFonts w:cs="Tahoma"/>
                <w:b/>
                <w:bCs/>
                <w:sz w:val="14"/>
                <w:szCs w:val="14"/>
                <w:lang w:val="en-US"/>
              </w:rPr>
              <w:t>SGE ASF</w:t>
            </w:r>
          </w:p>
        </w:tc>
      </w:tr>
      <w:tr w:rsidR="0012391B" w:rsidRPr="0000309C" w14:paraId="2A31E00A" w14:textId="77777777" w:rsidTr="00A53BC0">
        <w:trPr>
          <w:trHeight w:val="226"/>
        </w:trPr>
        <w:tc>
          <w:tcPr>
            <w:tcW w:w="31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03666B0" w14:textId="77777777" w:rsidR="0012391B" w:rsidRPr="0000309C" w:rsidRDefault="0012391B">
            <w:pPr>
              <w:pStyle w:val="ListParagraph"/>
              <w:ind w:left="0"/>
              <w:rPr>
                <w:rFonts w:cs="Tahoma"/>
                <w:b/>
                <w:bCs/>
                <w:sz w:val="14"/>
                <w:szCs w:val="14"/>
                <w:lang w:val="en-US"/>
              </w:rPr>
            </w:pPr>
            <w:r w:rsidRPr="0000309C">
              <w:rPr>
                <w:rFonts w:cs="Tahoma"/>
                <w:b/>
                <w:bCs/>
                <w:sz w:val="14"/>
                <w:szCs w:val="14"/>
                <w:lang w:val="en-US"/>
              </w:rPr>
              <w:t>ASF country missions</w:t>
            </w:r>
          </w:p>
        </w:tc>
        <w:tc>
          <w:tcPr>
            <w:tcW w:w="10456"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0E5077" w14:textId="77777777" w:rsidR="0012391B" w:rsidRPr="0000309C" w:rsidRDefault="0012391B">
            <w:pPr>
              <w:pStyle w:val="ListParagraph"/>
              <w:ind w:left="0"/>
              <w:jc w:val="center"/>
              <w:rPr>
                <w:rFonts w:cs="Tahoma"/>
                <w:b/>
                <w:bCs/>
                <w:sz w:val="14"/>
                <w:szCs w:val="14"/>
                <w:lang w:val="en-US"/>
              </w:rPr>
            </w:pPr>
            <w:r w:rsidRPr="0000309C">
              <w:rPr>
                <w:rFonts w:cs="Tahoma"/>
                <w:b/>
                <w:bCs/>
                <w:sz w:val="14"/>
                <w:szCs w:val="14"/>
                <w:lang w:val="en-US"/>
              </w:rPr>
              <w:t>When required</w:t>
            </w:r>
          </w:p>
        </w:tc>
      </w:tr>
      <w:tr w:rsidR="005A7E02" w:rsidRPr="00F11FD9" w14:paraId="38358666" w14:textId="77777777" w:rsidTr="00A53BC0">
        <w:trPr>
          <w:trHeight w:val="226"/>
        </w:trPr>
        <w:tc>
          <w:tcPr>
            <w:tcW w:w="3152" w:type="dxa"/>
            <w:tcBorders>
              <w:top w:val="single" w:sz="12" w:space="0" w:color="auto"/>
              <w:left w:val="single" w:sz="12" w:space="0" w:color="auto"/>
              <w:right w:val="single" w:sz="12" w:space="0" w:color="auto"/>
            </w:tcBorders>
            <w:shd w:val="clear" w:color="auto" w:fill="F2F2F2" w:themeFill="background1" w:themeFillShade="F2"/>
            <w:vAlign w:val="center"/>
          </w:tcPr>
          <w:p w14:paraId="566CAE62" w14:textId="77777777" w:rsidR="0012391B" w:rsidRPr="0000309C" w:rsidRDefault="0012391B">
            <w:pPr>
              <w:pStyle w:val="ListParagraph"/>
              <w:ind w:left="0"/>
              <w:rPr>
                <w:rFonts w:cs="Tahoma"/>
                <w:b/>
                <w:sz w:val="14"/>
                <w:szCs w:val="14"/>
                <w:lang w:val="en-US"/>
              </w:rPr>
            </w:pPr>
            <w:r w:rsidRPr="0000309C">
              <w:rPr>
                <w:rFonts w:cs="Tahoma"/>
                <w:b/>
                <w:sz w:val="14"/>
                <w:szCs w:val="14"/>
                <w:lang w:val="en-US"/>
              </w:rPr>
              <w:t xml:space="preserve">2 Lumpy skin disease </w:t>
            </w:r>
          </w:p>
        </w:tc>
        <w:tc>
          <w:tcPr>
            <w:tcW w:w="1384" w:type="dxa"/>
            <w:tcBorders>
              <w:top w:val="single" w:sz="12" w:space="0" w:color="auto"/>
              <w:left w:val="single" w:sz="12" w:space="0" w:color="auto"/>
              <w:bottom w:val="single" w:sz="4" w:space="0" w:color="auto"/>
            </w:tcBorders>
            <w:shd w:val="clear" w:color="auto" w:fill="FFFFFF" w:themeFill="background1"/>
            <w:vAlign w:val="center"/>
          </w:tcPr>
          <w:p w14:paraId="226ABBC5"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SGE LSD</w:t>
            </w:r>
          </w:p>
        </w:tc>
        <w:tc>
          <w:tcPr>
            <w:tcW w:w="1134" w:type="dxa"/>
            <w:tcBorders>
              <w:top w:val="single" w:sz="12" w:space="0" w:color="auto"/>
              <w:bottom w:val="single" w:sz="4" w:space="0" w:color="auto"/>
            </w:tcBorders>
            <w:shd w:val="clear" w:color="auto" w:fill="FFFFFF" w:themeFill="background1"/>
            <w:vAlign w:val="center"/>
          </w:tcPr>
          <w:p w14:paraId="73B24A0F"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4" w:space="0" w:color="auto"/>
            </w:tcBorders>
            <w:shd w:val="clear" w:color="auto" w:fill="FFFFFF" w:themeFill="background1"/>
            <w:vAlign w:val="center"/>
          </w:tcPr>
          <w:p w14:paraId="19D004F5" w14:textId="77777777" w:rsidR="0012391B" w:rsidRPr="0000309C" w:rsidRDefault="0012391B">
            <w:pPr>
              <w:pStyle w:val="ListParagraph"/>
              <w:ind w:left="0"/>
              <w:jc w:val="center"/>
              <w:rPr>
                <w:rFonts w:cs="Tahoma"/>
                <w:b/>
                <w:sz w:val="14"/>
                <w:szCs w:val="14"/>
                <w:lang w:val="en-US"/>
              </w:rPr>
            </w:pPr>
          </w:p>
        </w:tc>
        <w:tc>
          <w:tcPr>
            <w:tcW w:w="1418" w:type="dxa"/>
            <w:tcBorders>
              <w:top w:val="single" w:sz="12" w:space="0" w:color="auto"/>
              <w:bottom w:val="single" w:sz="4" w:space="0" w:color="auto"/>
              <w:right w:val="single" w:sz="12" w:space="0" w:color="auto"/>
            </w:tcBorders>
            <w:shd w:val="clear" w:color="auto" w:fill="FFFFFF" w:themeFill="background1"/>
            <w:vAlign w:val="center"/>
          </w:tcPr>
          <w:p w14:paraId="5C5AE6DF" w14:textId="77777777" w:rsidR="0012391B" w:rsidRPr="0000309C" w:rsidRDefault="0012391B">
            <w:pPr>
              <w:pStyle w:val="ListParagraph"/>
              <w:ind w:left="0"/>
              <w:jc w:val="center"/>
              <w:rPr>
                <w:rFonts w:cs="Tahoma"/>
                <w:b/>
                <w:sz w:val="14"/>
                <w:szCs w:val="14"/>
                <w:lang w:val="en-US"/>
              </w:rPr>
            </w:pPr>
          </w:p>
        </w:tc>
        <w:tc>
          <w:tcPr>
            <w:tcW w:w="1417" w:type="dxa"/>
            <w:tcBorders>
              <w:top w:val="single" w:sz="12" w:space="0" w:color="auto"/>
              <w:left w:val="single" w:sz="12" w:space="0" w:color="auto"/>
            </w:tcBorders>
            <w:shd w:val="clear" w:color="auto" w:fill="FFFFFF" w:themeFill="background1"/>
            <w:vAlign w:val="center"/>
          </w:tcPr>
          <w:p w14:paraId="2657D7DF" w14:textId="27842DD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SGE LSD SEE</w:t>
            </w:r>
          </w:p>
        </w:tc>
        <w:tc>
          <w:tcPr>
            <w:tcW w:w="1276" w:type="dxa"/>
            <w:tcBorders>
              <w:top w:val="single" w:sz="12" w:space="0" w:color="auto"/>
            </w:tcBorders>
            <w:shd w:val="clear" w:color="auto" w:fill="FFFFFF" w:themeFill="background1"/>
            <w:vAlign w:val="center"/>
          </w:tcPr>
          <w:p w14:paraId="13015E35" w14:textId="77777777" w:rsidR="0012391B" w:rsidRPr="0000309C" w:rsidRDefault="0012391B">
            <w:pPr>
              <w:pStyle w:val="ListParagraph"/>
              <w:ind w:left="0"/>
              <w:jc w:val="center"/>
              <w:rPr>
                <w:rFonts w:cs="Tahoma"/>
                <w:b/>
                <w:sz w:val="14"/>
                <w:szCs w:val="14"/>
                <w:lang w:val="en-US"/>
              </w:rPr>
            </w:pPr>
          </w:p>
        </w:tc>
        <w:tc>
          <w:tcPr>
            <w:tcW w:w="1276" w:type="dxa"/>
            <w:shd w:val="clear" w:color="auto" w:fill="FFFFFF" w:themeFill="background1"/>
            <w:vAlign w:val="center"/>
          </w:tcPr>
          <w:p w14:paraId="3687C2B7"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SGE LSD Central Asia (first)</w:t>
            </w:r>
          </w:p>
        </w:tc>
        <w:tc>
          <w:tcPr>
            <w:tcW w:w="1417" w:type="dxa"/>
            <w:tcBorders>
              <w:right w:val="single" w:sz="12" w:space="0" w:color="auto"/>
            </w:tcBorders>
            <w:shd w:val="clear" w:color="auto" w:fill="FFFFFF" w:themeFill="background1"/>
            <w:vAlign w:val="center"/>
          </w:tcPr>
          <w:p w14:paraId="1145A772" w14:textId="77777777" w:rsidR="0012391B" w:rsidRPr="0000309C" w:rsidRDefault="0012391B">
            <w:pPr>
              <w:pStyle w:val="ListParagraph"/>
              <w:ind w:left="0"/>
              <w:jc w:val="center"/>
              <w:rPr>
                <w:rFonts w:cs="Tahoma"/>
                <w:b/>
                <w:sz w:val="14"/>
                <w:szCs w:val="14"/>
                <w:lang w:val="en-US"/>
              </w:rPr>
            </w:pPr>
          </w:p>
        </w:tc>
      </w:tr>
      <w:tr w:rsidR="005A7E02" w:rsidRPr="0000309C" w14:paraId="457C1FDF" w14:textId="77777777" w:rsidTr="00A53BC0">
        <w:trPr>
          <w:trHeight w:val="226"/>
        </w:trPr>
        <w:tc>
          <w:tcPr>
            <w:tcW w:w="3152" w:type="dxa"/>
            <w:tcBorders>
              <w:top w:val="single" w:sz="12" w:space="0" w:color="auto"/>
              <w:left w:val="single" w:sz="12" w:space="0" w:color="auto"/>
              <w:right w:val="single" w:sz="12" w:space="0" w:color="auto"/>
            </w:tcBorders>
            <w:shd w:val="clear" w:color="auto" w:fill="F2F2F2" w:themeFill="background1" w:themeFillShade="F2"/>
            <w:vAlign w:val="center"/>
          </w:tcPr>
          <w:p w14:paraId="7871C38E" w14:textId="77777777" w:rsidR="0012391B" w:rsidRPr="0000309C" w:rsidRDefault="0012391B">
            <w:pPr>
              <w:pStyle w:val="ListParagraph"/>
              <w:ind w:left="0"/>
              <w:rPr>
                <w:rFonts w:cs="Tahoma"/>
                <w:b/>
                <w:sz w:val="14"/>
                <w:szCs w:val="14"/>
                <w:lang w:val="en-US"/>
              </w:rPr>
            </w:pPr>
            <w:r w:rsidRPr="0000309C">
              <w:rPr>
                <w:rFonts w:cs="Tahoma"/>
                <w:b/>
                <w:sz w:val="14"/>
                <w:szCs w:val="14"/>
                <w:lang w:val="en-US"/>
              </w:rPr>
              <w:t>3 Rabies</w:t>
            </w:r>
          </w:p>
        </w:tc>
        <w:tc>
          <w:tcPr>
            <w:tcW w:w="1384" w:type="dxa"/>
            <w:tcBorders>
              <w:top w:val="single" w:sz="12" w:space="0" w:color="auto"/>
              <w:left w:val="single" w:sz="12" w:space="0" w:color="auto"/>
              <w:bottom w:val="single" w:sz="4" w:space="0" w:color="auto"/>
            </w:tcBorders>
            <w:shd w:val="clear" w:color="auto" w:fill="FFFFFF" w:themeFill="background1"/>
            <w:vAlign w:val="center"/>
          </w:tcPr>
          <w:p w14:paraId="3F6809E2"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4" w:space="0" w:color="auto"/>
            </w:tcBorders>
            <w:shd w:val="clear" w:color="auto" w:fill="FFFFFF" w:themeFill="background1"/>
            <w:vAlign w:val="center"/>
          </w:tcPr>
          <w:p w14:paraId="15500124"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SGE Rabies</w:t>
            </w:r>
          </w:p>
        </w:tc>
        <w:tc>
          <w:tcPr>
            <w:tcW w:w="1134" w:type="dxa"/>
            <w:tcBorders>
              <w:top w:val="single" w:sz="12" w:space="0" w:color="auto"/>
              <w:bottom w:val="single" w:sz="4" w:space="0" w:color="auto"/>
            </w:tcBorders>
            <w:shd w:val="clear" w:color="auto" w:fill="FFFFFF" w:themeFill="background1"/>
            <w:vAlign w:val="center"/>
          </w:tcPr>
          <w:p w14:paraId="394873FB" w14:textId="77777777" w:rsidR="0012391B" w:rsidRPr="0000309C" w:rsidRDefault="0012391B">
            <w:pPr>
              <w:pStyle w:val="ListParagraph"/>
              <w:ind w:left="0"/>
              <w:jc w:val="center"/>
              <w:rPr>
                <w:rFonts w:cs="Tahoma"/>
                <w:b/>
                <w:sz w:val="14"/>
                <w:szCs w:val="14"/>
                <w:lang w:val="en-US"/>
              </w:rPr>
            </w:pPr>
          </w:p>
        </w:tc>
        <w:tc>
          <w:tcPr>
            <w:tcW w:w="1418" w:type="dxa"/>
            <w:tcBorders>
              <w:top w:val="single" w:sz="12" w:space="0" w:color="auto"/>
              <w:bottom w:val="single" w:sz="4" w:space="0" w:color="auto"/>
              <w:right w:val="single" w:sz="12" w:space="0" w:color="auto"/>
            </w:tcBorders>
            <w:shd w:val="clear" w:color="auto" w:fill="FFFFFF" w:themeFill="background1"/>
            <w:vAlign w:val="center"/>
          </w:tcPr>
          <w:p w14:paraId="2B963CFA" w14:textId="77777777" w:rsidR="0012391B" w:rsidRPr="0000309C" w:rsidRDefault="0012391B">
            <w:pPr>
              <w:pStyle w:val="ListParagraph"/>
              <w:ind w:left="0"/>
              <w:jc w:val="center"/>
              <w:rPr>
                <w:rFonts w:cs="Tahoma"/>
                <w:b/>
                <w:sz w:val="14"/>
                <w:szCs w:val="14"/>
                <w:lang w:val="en-US"/>
              </w:rPr>
            </w:pPr>
          </w:p>
        </w:tc>
        <w:tc>
          <w:tcPr>
            <w:tcW w:w="1417" w:type="dxa"/>
            <w:tcBorders>
              <w:top w:val="single" w:sz="12" w:space="0" w:color="auto"/>
              <w:left w:val="single" w:sz="12" w:space="0" w:color="auto"/>
            </w:tcBorders>
            <w:shd w:val="clear" w:color="auto" w:fill="FFFFFF" w:themeFill="background1"/>
            <w:vAlign w:val="center"/>
          </w:tcPr>
          <w:p w14:paraId="3DADFFAA" w14:textId="77777777" w:rsidR="0012391B" w:rsidRPr="0000309C" w:rsidRDefault="0012391B">
            <w:pPr>
              <w:pStyle w:val="ListParagraph"/>
              <w:ind w:left="0"/>
              <w:jc w:val="center"/>
              <w:rPr>
                <w:rFonts w:cs="Tahoma"/>
                <w:b/>
                <w:sz w:val="14"/>
                <w:szCs w:val="14"/>
                <w:lang w:val="en-US"/>
              </w:rPr>
            </w:pPr>
          </w:p>
        </w:tc>
        <w:tc>
          <w:tcPr>
            <w:tcW w:w="1276" w:type="dxa"/>
            <w:tcBorders>
              <w:top w:val="single" w:sz="12" w:space="0" w:color="auto"/>
            </w:tcBorders>
            <w:shd w:val="clear" w:color="auto" w:fill="FFFFFF" w:themeFill="background1"/>
            <w:vAlign w:val="center"/>
          </w:tcPr>
          <w:p w14:paraId="5735E31D"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SGE Rabies</w:t>
            </w:r>
          </w:p>
        </w:tc>
        <w:tc>
          <w:tcPr>
            <w:tcW w:w="1276" w:type="dxa"/>
            <w:shd w:val="clear" w:color="auto" w:fill="FFFFFF" w:themeFill="background1"/>
            <w:vAlign w:val="center"/>
          </w:tcPr>
          <w:p w14:paraId="4956BEE1" w14:textId="77777777" w:rsidR="0012391B" w:rsidRPr="0000309C" w:rsidRDefault="0012391B">
            <w:pPr>
              <w:pStyle w:val="ListParagraph"/>
              <w:ind w:left="0"/>
              <w:jc w:val="center"/>
              <w:rPr>
                <w:rFonts w:cs="Tahoma"/>
                <w:b/>
                <w:sz w:val="14"/>
                <w:szCs w:val="14"/>
                <w:lang w:val="en-US"/>
              </w:rPr>
            </w:pPr>
          </w:p>
        </w:tc>
        <w:tc>
          <w:tcPr>
            <w:tcW w:w="1417" w:type="dxa"/>
            <w:tcBorders>
              <w:right w:val="single" w:sz="12" w:space="0" w:color="auto"/>
            </w:tcBorders>
            <w:shd w:val="clear" w:color="auto" w:fill="FFFFFF" w:themeFill="background1"/>
            <w:vAlign w:val="center"/>
          </w:tcPr>
          <w:p w14:paraId="1FE5946F" w14:textId="77777777" w:rsidR="0012391B" w:rsidRPr="0000309C" w:rsidRDefault="0012391B">
            <w:pPr>
              <w:pStyle w:val="ListParagraph"/>
              <w:ind w:left="0"/>
              <w:jc w:val="center"/>
              <w:rPr>
                <w:rFonts w:cs="Tahoma"/>
                <w:b/>
                <w:sz w:val="14"/>
                <w:szCs w:val="14"/>
                <w:lang w:val="en-US"/>
              </w:rPr>
            </w:pPr>
          </w:p>
        </w:tc>
      </w:tr>
      <w:tr w:rsidR="005A7E02" w:rsidRPr="0000309C" w14:paraId="5B450A4E" w14:textId="77777777" w:rsidTr="00A53BC0">
        <w:trPr>
          <w:trHeight w:val="226"/>
        </w:trPr>
        <w:tc>
          <w:tcPr>
            <w:tcW w:w="3152" w:type="dxa"/>
            <w:tcBorders>
              <w:top w:val="single" w:sz="12" w:space="0" w:color="auto"/>
              <w:left w:val="single" w:sz="12" w:space="0" w:color="auto"/>
              <w:right w:val="single" w:sz="12" w:space="0" w:color="auto"/>
            </w:tcBorders>
            <w:shd w:val="clear" w:color="auto" w:fill="F2F2F2" w:themeFill="background1" w:themeFillShade="F2"/>
            <w:vAlign w:val="center"/>
          </w:tcPr>
          <w:p w14:paraId="45DF74AB" w14:textId="77777777" w:rsidR="0012391B" w:rsidRPr="0000309C" w:rsidRDefault="0012391B">
            <w:pPr>
              <w:pStyle w:val="ListParagraph"/>
              <w:ind w:left="0"/>
              <w:rPr>
                <w:rFonts w:cs="Tahoma"/>
                <w:b/>
                <w:sz w:val="14"/>
                <w:szCs w:val="14"/>
                <w:lang w:val="en-US"/>
              </w:rPr>
            </w:pPr>
            <w:r w:rsidRPr="0000309C">
              <w:rPr>
                <w:rFonts w:cs="Tahoma"/>
                <w:b/>
                <w:sz w:val="14"/>
                <w:szCs w:val="14"/>
                <w:lang w:val="en-US"/>
              </w:rPr>
              <w:t xml:space="preserve">4 foot and mouth disease </w:t>
            </w:r>
          </w:p>
        </w:tc>
        <w:tc>
          <w:tcPr>
            <w:tcW w:w="1384" w:type="dxa"/>
            <w:tcBorders>
              <w:top w:val="single" w:sz="12" w:space="0" w:color="auto"/>
              <w:left w:val="single" w:sz="12" w:space="0" w:color="auto"/>
              <w:bottom w:val="single" w:sz="4" w:space="0" w:color="auto"/>
            </w:tcBorders>
            <w:shd w:val="clear" w:color="auto" w:fill="FFFFFF" w:themeFill="background1"/>
            <w:vAlign w:val="center"/>
          </w:tcPr>
          <w:p w14:paraId="288BA8FA"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4" w:space="0" w:color="auto"/>
            </w:tcBorders>
            <w:shd w:val="clear" w:color="auto" w:fill="FFFFFF" w:themeFill="background1"/>
            <w:vAlign w:val="center"/>
          </w:tcPr>
          <w:p w14:paraId="10DE4508"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Epi and Lab</w:t>
            </w:r>
          </w:p>
        </w:tc>
        <w:tc>
          <w:tcPr>
            <w:tcW w:w="1134" w:type="dxa"/>
            <w:tcBorders>
              <w:top w:val="single" w:sz="12" w:space="0" w:color="auto"/>
              <w:bottom w:val="single" w:sz="4" w:space="0" w:color="auto"/>
            </w:tcBorders>
            <w:shd w:val="clear" w:color="auto" w:fill="FFFFFF" w:themeFill="background1"/>
            <w:vAlign w:val="center"/>
          </w:tcPr>
          <w:p w14:paraId="3A0AFEF3" w14:textId="77777777" w:rsidR="0012391B" w:rsidRPr="0000309C" w:rsidRDefault="0012391B">
            <w:pPr>
              <w:pStyle w:val="ListParagraph"/>
              <w:ind w:left="0"/>
              <w:jc w:val="center"/>
              <w:rPr>
                <w:rFonts w:cs="Tahoma"/>
                <w:b/>
                <w:sz w:val="14"/>
                <w:szCs w:val="14"/>
                <w:lang w:val="en-US"/>
              </w:rPr>
            </w:pPr>
            <w:r w:rsidRPr="0000309C">
              <w:rPr>
                <w:rFonts w:cs="Tahoma"/>
                <w:b/>
                <w:sz w:val="14"/>
                <w:szCs w:val="14"/>
                <w:lang w:val="en-US"/>
              </w:rPr>
              <w:t>RAGs</w:t>
            </w:r>
          </w:p>
        </w:tc>
        <w:tc>
          <w:tcPr>
            <w:tcW w:w="1418" w:type="dxa"/>
            <w:tcBorders>
              <w:top w:val="single" w:sz="12" w:space="0" w:color="auto"/>
              <w:bottom w:val="single" w:sz="4" w:space="0" w:color="auto"/>
              <w:right w:val="single" w:sz="12" w:space="0" w:color="auto"/>
            </w:tcBorders>
            <w:shd w:val="clear" w:color="auto" w:fill="FFFFFF" w:themeFill="background1"/>
            <w:vAlign w:val="center"/>
          </w:tcPr>
          <w:p w14:paraId="52E38F36" w14:textId="77777777" w:rsidR="0012391B" w:rsidRPr="0000309C" w:rsidRDefault="0012391B">
            <w:pPr>
              <w:pStyle w:val="ListParagraph"/>
              <w:ind w:left="0"/>
              <w:jc w:val="center"/>
              <w:rPr>
                <w:rFonts w:cs="Tahoma"/>
                <w:b/>
                <w:sz w:val="14"/>
                <w:szCs w:val="14"/>
                <w:lang w:val="en-US"/>
              </w:rPr>
            </w:pPr>
          </w:p>
        </w:tc>
        <w:tc>
          <w:tcPr>
            <w:tcW w:w="1417" w:type="dxa"/>
            <w:tcBorders>
              <w:top w:val="single" w:sz="12" w:space="0" w:color="auto"/>
              <w:left w:val="single" w:sz="12" w:space="0" w:color="auto"/>
            </w:tcBorders>
            <w:shd w:val="clear" w:color="auto" w:fill="FFFFFF" w:themeFill="background1"/>
            <w:vAlign w:val="center"/>
          </w:tcPr>
          <w:p w14:paraId="7EF9E9C6" w14:textId="77777777" w:rsidR="0012391B" w:rsidRPr="0000309C" w:rsidRDefault="0012391B">
            <w:pPr>
              <w:pStyle w:val="ListParagraph"/>
              <w:ind w:left="0"/>
              <w:jc w:val="center"/>
              <w:rPr>
                <w:rFonts w:cs="Tahoma"/>
                <w:b/>
                <w:sz w:val="14"/>
                <w:szCs w:val="14"/>
                <w:lang w:val="en-US"/>
              </w:rPr>
            </w:pPr>
          </w:p>
        </w:tc>
        <w:tc>
          <w:tcPr>
            <w:tcW w:w="1276" w:type="dxa"/>
            <w:tcBorders>
              <w:top w:val="single" w:sz="12" w:space="0" w:color="auto"/>
            </w:tcBorders>
            <w:shd w:val="clear" w:color="auto" w:fill="FFFFFF" w:themeFill="background1"/>
            <w:vAlign w:val="center"/>
          </w:tcPr>
          <w:p w14:paraId="548A44FE" w14:textId="77777777" w:rsidR="0012391B" w:rsidRPr="0000309C" w:rsidRDefault="0012391B">
            <w:pPr>
              <w:pStyle w:val="ListParagraph"/>
              <w:ind w:left="0"/>
              <w:jc w:val="center"/>
              <w:rPr>
                <w:rFonts w:cs="Tahoma"/>
                <w:b/>
                <w:sz w:val="14"/>
                <w:szCs w:val="14"/>
                <w:lang w:val="en-US"/>
              </w:rPr>
            </w:pPr>
            <w:r w:rsidRPr="0000309C">
              <w:rPr>
                <w:rFonts w:cs="Tahoma"/>
                <w:b/>
                <w:bCs/>
                <w:sz w:val="14"/>
                <w:szCs w:val="14"/>
                <w:lang w:val="en-US"/>
              </w:rPr>
              <w:t>Epi and Lab</w:t>
            </w:r>
          </w:p>
        </w:tc>
        <w:tc>
          <w:tcPr>
            <w:tcW w:w="1276" w:type="dxa"/>
            <w:shd w:val="clear" w:color="auto" w:fill="FFFFFF" w:themeFill="background1"/>
            <w:vAlign w:val="center"/>
          </w:tcPr>
          <w:p w14:paraId="5785AC0C" w14:textId="77777777" w:rsidR="0012391B" w:rsidRPr="0000309C" w:rsidRDefault="0012391B">
            <w:pPr>
              <w:pStyle w:val="ListParagraph"/>
              <w:ind w:left="0"/>
              <w:jc w:val="center"/>
              <w:rPr>
                <w:rFonts w:cs="Tahoma"/>
                <w:b/>
                <w:sz w:val="14"/>
                <w:szCs w:val="14"/>
                <w:lang w:val="en-US"/>
              </w:rPr>
            </w:pPr>
            <w:r w:rsidRPr="0000309C">
              <w:rPr>
                <w:rFonts w:cs="Tahoma"/>
                <w:b/>
                <w:sz w:val="14"/>
                <w:szCs w:val="14"/>
                <w:lang w:val="en-US"/>
              </w:rPr>
              <w:t>roadmap</w:t>
            </w:r>
          </w:p>
        </w:tc>
        <w:tc>
          <w:tcPr>
            <w:tcW w:w="1417" w:type="dxa"/>
            <w:tcBorders>
              <w:right w:val="single" w:sz="12" w:space="0" w:color="auto"/>
            </w:tcBorders>
            <w:shd w:val="clear" w:color="auto" w:fill="FFFFFF" w:themeFill="background1"/>
            <w:vAlign w:val="center"/>
          </w:tcPr>
          <w:p w14:paraId="3E263827" w14:textId="77777777" w:rsidR="0012391B" w:rsidRPr="0000309C" w:rsidRDefault="0012391B">
            <w:pPr>
              <w:pStyle w:val="ListParagraph"/>
              <w:ind w:left="0"/>
              <w:jc w:val="center"/>
              <w:rPr>
                <w:rFonts w:cs="Tahoma"/>
                <w:b/>
                <w:sz w:val="14"/>
                <w:szCs w:val="14"/>
                <w:lang w:val="en-US"/>
              </w:rPr>
            </w:pPr>
          </w:p>
        </w:tc>
      </w:tr>
      <w:tr w:rsidR="005A7E02" w:rsidRPr="0000309C" w14:paraId="01C45C28" w14:textId="77777777" w:rsidTr="00A53BC0">
        <w:trPr>
          <w:trHeight w:val="226"/>
        </w:trPr>
        <w:tc>
          <w:tcPr>
            <w:tcW w:w="3152" w:type="dxa"/>
            <w:tcBorders>
              <w:top w:val="single" w:sz="12" w:space="0" w:color="auto"/>
              <w:left w:val="single" w:sz="12" w:space="0" w:color="auto"/>
              <w:right w:val="single" w:sz="12" w:space="0" w:color="auto"/>
            </w:tcBorders>
            <w:shd w:val="clear" w:color="auto" w:fill="F2F2F2" w:themeFill="background1" w:themeFillShade="F2"/>
            <w:vAlign w:val="center"/>
          </w:tcPr>
          <w:p w14:paraId="02A93FE3" w14:textId="14DF4F60" w:rsidR="0012391B" w:rsidRPr="0000309C" w:rsidRDefault="00E54912">
            <w:pPr>
              <w:pStyle w:val="ListParagraph"/>
              <w:ind w:left="0"/>
              <w:rPr>
                <w:rFonts w:cs="Tahoma"/>
                <w:b/>
                <w:sz w:val="14"/>
                <w:szCs w:val="14"/>
                <w:lang w:val="en-US"/>
              </w:rPr>
            </w:pPr>
            <w:r>
              <w:rPr>
                <w:rFonts w:cs="Tahoma"/>
                <w:b/>
                <w:sz w:val="14"/>
                <w:szCs w:val="14"/>
                <w:lang w:val="en-US"/>
              </w:rPr>
              <w:t xml:space="preserve">Other </w:t>
            </w:r>
          </w:p>
        </w:tc>
        <w:tc>
          <w:tcPr>
            <w:tcW w:w="1384" w:type="dxa"/>
            <w:tcBorders>
              <w:top w:val="single" w:sz="12" w:space="0" w:color="auto"/>
              <w:left w:val="single" w:sz="12" w:space="0" w:color="auto"/>
              <w:bottom w:val="single" w:sz="4" w:space="0" w:color="auto"/>
            </w:tcBorders>
            <w:shd w:val="clear" w:color="auto" w:fill="FFFFFF" w:themeFill="background1"/>
            <w:vAlign w:val="center"/>
          </w:tcPr>
          <w:p w14:paraId="32048A02"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4" w:space="0" w:color="auto"/>
            </w:tcBorders>
            <w:shd w:val="clear" w:color="auto" w:fill="FFFFFF" w:themeFill="background1"/>
            <w:vAlign w:val="center"/>
          </w:tcPr>
          <w:p w14:paraId="732F3E73" w14:textId="77777777" w:rsidR="0012391B" w:rsidRPr="0000309C" w:rsidRDefault="0012391B">
            <w:pPr>
              <w:pStyle w:val="ListParagraph"/>
              <w:ind w:left="0"/>
              <w:jc w:val="center"/>
              <w:rPr>
                <w:rFonts w:cs="Tahoma"/>
                <w:b/>
                <w:sz w:val="14"/>
                <w:szCs w:val="14"/>
                <w:lang w:val="en-US"/>
              </w:rPr>
            </w:pPr>
          </w:p>
        </w:tc>
        <w:tc>
          <w:tcPr>
            <w:tcW w:w="1134" w:type="dxa"/>
            <w:tcBorders>
              <w:top w:val="single" w:sz="12" w:space="0" w:color="auto"/>
              <w:bottom w:val="single" w:sz="4" w:space="0" w:color="auto"/>
            </w:tcBorders>
            <w:shd w:val="clear" w:color="auto" w:fill="FFFFFF" w:themeFill="background1"/>
            <w:vAlign w:val="center"/>
          </w:tcPr>
          <w:p w14:paraId="767BBCCE" w14:textId="77777777" w:rsidR="0012391B" w:rsidRPr="0000309C" w:rsidRDefault="0012391B">
            <w:pPr>
              <w:pStyle w:val="ListParagraph"/>
              <w:ind w:left="0"/>
              <w:jc w:val="center"/>
              <w:rPr>
                <w:rFonts w:cs="Tahoma"/>
                <w:b/>
                <w:sz w:val="14"/>
                <w:szCs w:val="14"/>
                <w:lang w:val="en-US"/>
              </w:rPr>
            </w:pPr>
          </w:p>
        </w:tc>
        <w:tc>
          <w:tcPr>
            <w:tcW w:w="1418" w:type="dxa"/>
            <w:tcBorders>
              <w:top w:val="single" w:sz="12" w:space="0" w:color="auto"/>
              <w:bottom w:val="single" w:sz="4" w:space="0" w:color="auto"/>
              <w:right w:val="single" w:sz="12" w:space="0" w:color="auto"/>
            </w:tcBorders>
            <w:shd w:val="clear" w:color="auto" w:fill="FFFFFF" w:themeFill="background1"/>
            <w:vAlign w:val="center"/>
          </w:tcPr>
          <w:p w14:paraId="040734EF" w14:textId="55F4C72D" w:rsidR="0012391B" w:rsidRPr="0000309C" w:rsidRDefault="0012391B">
            <w:pPr>
              <w:pStyle w:val="ListParagraph"/>
              <w:ind w:left="0"/>
              <w:jc w:val="center"/>
              <w:rPr>
                <w:rFonts w:cs="Tahoma"/>
                <w:b/>
                <w:sz w:val="14"/>
                <w:szCs w:val="14"/>
                <w:lang w:val="en-US"/>
              </w:rPr>
            </w:pPr>
          </w:p>
        </w:tc>
        <w:tc>
          <w:tcPr>
            <w:tcW w:w="1417" w:type="dxa"/>
            <w:tcBorders>
              <w:top w:val="single" w:sz="12" w:space="0" w:color="auto"/>
              <w:left w:val="single" w:sz="12" w:space="0" w:color="auto"/>
            </w:tcBorders>
            <w:shd w:val="clear" w:color="auto" w:fill="FFFFFF" w:themeFill="background1"/>
            <w:vAlign w:val="center"/>
          </w:tcPr>
          <w:p w14:paraId="23865F50" w14:textId="77777777" w:rsidR="0012391B" w:rsidRPr="0000309C" w:rsidRDefault="0012391B">
            <w:pPr>
              <w:pStyle w:val="ListParagraph"/>
              <w:ind w:left="0"/>
              <w:jc w:val="center"/>
              <w:rPr>
                <w:rFonts w:cs="Tahoma"/>
                <w:b/>
                <w:sz w:val="14"/>
                <w:szCs w:val="14"/>
                <w:lang w:val="en-US"/>
              </w:rPr>
            </w:pPr>
          </w:p>
        </w:tc>
        <w:tc>
          <w:tcPr>
            <w:tcW w:w="1276" w:type="dxa"/>
            <w:tcBorders>
              <w:top w:val="single" w:sz="12" w:space="0" w:color="auto"/>
            </w:tcBorders>
            <w:shd w:val="clear" w:color="auto" w:fill="FFFFFF" w:themeFill="background1"/>
            <w:vAlign w:val="center"/>
          </w:tcPr>
          <w:p w14:paraId="75033329" w14:textId="2A89F71F" w:rsidR="0012391B" w:rsidRPr="0000309C" w:rsidRDefault="0012391B">
            <w:pPr>
              <w:pStyle w:val="ListParagraph"/>
              <w:ind w:left="0"/>
              <w:jc w:val="center"/>
              <w:rPr>
                <w:rFonts w:cs="Tahoma"/>
                <w:b/>
                <w:sz w:val="14"/>
                <w:szCs w:val="14"/>
                <w:lang w:val="en-US"/>
              </w:rPr>
            </w:pPr>
          </w:p>
        </w:tc>
        <w:tc>
          <w:tcPr>
            <w:tcW w:w="1276" w:type="dxa"/>
            <w:shd w:val="clear" w:color="auto" w:fill="FFFFFF" w:themeFill="background1"/>
            <w:vAlign w:val="center"/>
          </w:tcPr>
          <w:p w14:paraId="16CEA774" w14:textId="77777777" w:rsidR="0012391B" w:rsidRPr="0000309C" w:rsidRDefault="0012391B">
            <w:pPr>
              <w:pStyle w:val="ListParagraph"/>
              <w:ind w:left="0"/>
              <w:jc w:val="center"/>
              <w:rPr>
                <w:rFonts w:cs="Tahoma"/>
                <w:b/>
                <w:sz w:val="14"/>
                <w:szCs w:val="14"/>
                <w:lang w:val="en-US"/>
              </w:rPr>
            </w:pPr>
          </w:p>
        </w:tc>
        <w:tc>
          <w:tcPr>
            <w:tcW w:w="1417" w:type="dxa"/>
            <w:tcBorders>
              <w:right w:val="single" w:sz="12" w:space="0" w:color="auto"/>
            </w:tcBorders>
            <w:shd w:val="clear" w:color="auto" w:fill="FFFFFF" w:themeFill="background1"/>
            <w:vAlign w:val="center"/>
          </w:tcPr>
          <w:p w14:paraId="10FAD4DA" w14:textId="09DA17B6" w:rsidR="0012391B" w:rsidRPr="0000309C" w:rsidRDefault="0012391B">
            <w:pPr>
              <w:pStyle w:val="ListParagraph"/>
              <w:ind w:left="0"/>
              <w:jc w:val="center"/>
              <w:rPr>
                <w:rFonts w:cs="Tahoma"/>
                <w:b/>
                <w:sz w:val="14"/>
                <w:szCs w:val="14"/>
                <w:lang w:val="en-US"/>
              </w:rPr>
            </w:pPr>
          </w:p>
        </w:tc>
      </w:tr>
    </w:tbl>
    <w:p w14:paraId="3515151D" w14:textId="77777777" w:rsidR="00CA536B" w:rsidRDefault="00CA536B" w:rsidP="00CA536B">
      <w:pPr>
        <w:rPr>
          <w:lang w:val="en-US"/>
        </w:rPr>
      </w:pPr>
    </w:p>
    <w:p w14:paraId="7434B3FB" w14:textId="6115926F" w:rsidR="0088330D" w:rsidRDefault="00B139D6" w:rsidP="000043DE">
      <w:pPr>
        <w:pStyle w:val="Heading1"/>
        <w:rPr>
          <w:lang w:val="en-US"/>
        </w:rPr>
      </w:pPr>
      <w:r w:rsidRPr="36C17C6A">
        <w:rPr>
          <w:lang w:val="en-US"/>
        </w:rPr>
        <w:t>Annex</w:t>
      </w:r>
      <w:r w:rsidR="36F46E39" w:rsidRPr="36C17C6A">
        <w:rPr>
          <w:lang w:val="en-US"/>
        </w:rPr>
        <w:t xml:space="preserve"> 2</w:t>
      </w:r>
      <w:r w:rsidR="009D2780" w:rsidRPr="36C17C6A">
        <w:rPr>
          <w:lang w:val="en-US"/>
        </w:rPr>
        <w:t xml:space="preserve">- </w:t>
      </w:r>
      <w:r w:rsidR="0088330D" w:rsidRPr="36C17C6A">
        <w:rPr>
          <w:lang w:val="en-US"/>
        </w:rPr>
        <w:t>Projected milestones for</w:t>
      </w:r>
      <w:r w:rsidR="003F1665" w:rsidRPr="36C17C6A">
        <w:rPr>
          <w:lang w:val="en-US"/>
        </w:rPr>
        <w:t xml:space="preserve"> priority diseases in the region</w:t>
      </w:r>
      <w:r w:rsidRPr="00507724">
        <w:rPr>
          <w:lang w:val="en-US"/>
        </w:rPr>
        <w:tab/>
      </w:r>
    </w:p>
    <w:tbl>
      <w:tblPr>
        <w:tblStyle w:val="TableGrid"/>
        <w:tblW w:w="0" w:type="auto"/>
        <w:tblLook w:val="04A0" w:firstRow="1" w:lastRow="0" w:firstColumn="1" w:lastColumn="0" w:noHBand="0" w:noVBand="1"/>
      </w:tblPr>
      <w:tblGrid>
        <w:gridCol w:w="2972"/>
        <w:gridCol w:w="3402"/>
        <w:gridCol w:w="3969"/>
        <w:gridCol w:w="3260"/>
      </w:tblGrid>
      <w:tr w:rsidR="005A7E02" w:rsidRPr="00F11FD9" w14:paraId="0C841DE4" w14:textId="0801BE98" w:rsidTr="008F404F">
        <w:tc>
          <w:tcPr>
            <w:tcW w:w="13603" w:type="dxa"/>
            <w:gridSpan w:val="4"/>
          </w:tcPr>
          <w:p w14:paraId="45F98FFB" w14:textId="6ABE85E6" w:rsidR="005A7E02" w:rsidRPr="006E3ED5" w:rsidRDefault="005A7E02" w:rsidP="006E3ED5">
            <w:pPr>
              <w:rPr>
                <w:lang w:val="en-US"/>
              </w:rPr>
            </w:pPr>
            <w:r>
              <w:rPr>
                <w:lang w:val="en-US"/>
              </w:rPr>
              <w:t>Projected milestones for priority diseases in the region</w:t>
            </w:r>
          </w:p>
        </w:tc>
      </w:tr>
      <w:tr w:rsidR="005A7E02" w:rsidRPr="006E3ED5" w14:paraId="759F61CE" w14:textId="77777777" w:rsidTr="005A7E02">
        <w:tc>
          <w:tcPr>
            <w:tcW w:w="2972" w:type="dxa"/>
          </w:tcPr>
          <w:p w14:paraId="2D64385F" w14:textId="4D3893D0" w:rsidR="005A7E02" w:rsidRPr="006E3ED5" w:rsidRDefault="005A7E02" w:rsidP="005A7E02">
            <w:pPr>
              <w:rPr>
                <w:lang w:val="en-US"/>
              </w:rPr>
            </w:pPr>
            <w:r w:rsidRPr="006E3ED5">
              <w:rPr>
                <w:lang w:val="en-US"/>
              </w:rPr>
              <w:t>Year for projected milestone</w:t>
            </w:r>
          </w:p>
        </w:tc>
        <w:tc>
          <w:tcPr>
            <w:tcW w:w="3402" w:type="dxa"/>
          </w:tcPr>
          <w:p w14:paraId="78D36DD3" w14:textId="190235C8" w:rsidR="005A7E02" w:rsidRDefault="005A7E02" w:rsidP="005A7E02">
            <w:pPr>
              <w:rPr>
                <w:lang w:val="en-US"/>
              </w:rPr>
            </w:pPr>
            <w:r>
              <w:rPr>
                <w:lang w:val="en-US"/>
              </w:rPr>
              <w:t>2023</w:t>
            </w:r>
          </w:p>
        </w:tc>
        <w:tc>
          <w:tcPr>
            <w:tcW w:w="3969" w:type="dxa"/>
          </w:tcPr>
          <w:p w14:paraId="62292545" w14:textId="2277D7A4" w:rsidR="005A7E02" w:rsidRDefault="005A7E02" w:rsidP="005A7E02">
            <w:pPr>
              <w:rPr>
                <w:lang w:val="en-US"/>
              </w:rPr>
            </w:pPr>
            <w:r>
              <w:rPr>
                <w:lang w:val="en-US"/>
              </w:rPr>
              <w:t>2024</w:t>
            </w:r>
          </w:p>
        </w:tc>
        <w:tc>
          <w:tcPr>
            <w:tcW w:w="3260" w:type="dxa"/>
          </w:tcPr>
          <w:p w14:paraId="5F87BE60" w14:textId="7A1C9F4F" w:rsidR="005A7E02" w:rsidRDefault="005A7E02" w:rsidP="005A7E02">
            <w:pPr>
              <w:rPr>
                <w:lang w:val="en-US"/>
              </w:rPr>
            </w:pPr>
            <w:r>
              <w:rPr>
                <w:lang w:val="en-US"/>
              </w:rPr>
              <w:t>2025</w:t>
            </w:r>
          </w:p>
        </w:tc>
      </w:tr>
      <w:tr w:rsidR="005A7E02" w:rsidRPr="008073E6" w14:paraId="7178DE85" w14:textId="2C1DB871" w:rsidTr="00A53BC0">
        <w:tc>
          <w:tcPr>
            <w:tcW w:w="2972" w:type="dxa"/>
          </w:tcPr>
          <w:p w14:paraId="437B6FB2" w14:textId="77777777" w:rsidR="005A7E02" w:rsidRPr="006E3ED5" w:rsidRDefault="005A7E02" w:rsidP="005A7E02">
            <w:pPr>
              <w:rPr>
                <w:lang w:val="en-US"/>
              </w:rPr>
            </w:pPr>
            <w:r w:rsidRPr="006E3ED5">
              <w:rPr>
                <w:lang w:val="en-US"/>
              </w:rPr>
              <w:t>ASF</w:t>
            </w:r>
          </w:p>
        </w:tc>
        <w:tc>
          <w:tcPr>
            <w:tcW w:w="3402" w:type="dxa"/>
          </w:tcPr>
          <w:p w14:paraId="4F880AF8" w14:textId="5AAF28A2" w:rsidR="005A7E02" w:rsidRPr="006E3ED5" w:rsidRDefault="005A7E02" w:rsidP="005A7E02">
            <w:pPr>
              <w:rPr>
                <w:lang w:val="en-US"/>
              </w:rPr>
            </w:pPr>
          </w:p>
        </w:tc>
        <w:tc>
          <w:tcPr>
            <w:tcW w:w="3969" w:type="dxa"/>
          </w:tcPr>
          <w:p w14:paraId="7BC5F2C4" w14:textId="71EA1952" w:rsidR="005A7E02" w:rsidRPr="006E3ED5" w:rsidRDefault="005A7E02" w:rsidP="005A7E02">
            <w:pPr>
              <w:rPr>
                <w:lang w:val="en-US"/>
              </w:rPr>
            </w:pPr>
          </w:p>
        </w:tc>
        <w:tc>
          <w:tcPr>
            <w:tcW w:w="3260" w:type="dxa"/>
          </w:tcPr>
          <w:p w14:paraId="0B399D4C" w14:textId="77777777" w:rsidR="005A7E02" w:rsidRPr="006E3ED5" w:rsidRDefault="005A7E02" w:rsidP="005A7E02">
            <w:pPr>
              <w:rPr>
                <w:lang w:val="en-US"/>
              </w:rPr>
            </w:pPr>
          </w:p>
        </w:tc>
      </w:tr>
      <w:tr w:rsidR="00E54912" w:rsidRPr="008073E6" w14:paraId="4EF846E8" w14:textId="419C7652" w:rsidTr="00A53BC0">
        <w:tc>
          <w:tcPr>
            <w:tcW w:w="2972" w:type="dxa"/>
          </w:tcPr>
          <w:p w14:paraId="44FD92DF" w14:textId="77777777" w:rsidR="00E54912" w:rsidRPr="006E3ED5" w:rsidRDefault="00E54912" w:rsidP="00E54912">
            <w:pPr>
              <w:rPr>
                <w:lang w:val="en-US"/>
              </w:rPr>
            </w:pPr>
            <w:r w:rsidRPr="006E3ED5">
              <w:rPr>
                <w:lang w:val="en-US"/>
              </w:rPr>
              <w:t xml:space="preserve">PPR </w:t>
            </w:r>
          </w:p>
        </w:tc>
        <w:tc>
          <w:tcPr>
            <w:tcW w:w="3402" w:type="dxa"/>
          </w:tcPr>
          <w:p w14:paraId="5F366AC2" w14:textId="39960F85" w:rsidR="00E54912" w:rsidRPr="006E3ED5" w:rsidRDefault="00E54912" w:rsidP="00E54912">
            <w:pPr>
              <w:rPr>
                <w:lang w:val="en-US"/>
              </w:rPr>
            </w:pPr>
          </w:p>
        </w:tc>
        <w:tc>
          <w:tcPr>
            <w:tcW w:w="3969" w:type="dxa"/>
          </w:tcPr>
          <w:p w14:paraId="513F7BB1" w14:textId="27A001AC" w:rsidR="00E54912" w:rsidRPr="006E3ED5" w:rsidRDefault="00E54912" w:rsidP="00E54912">
            <w:pPr>
              <w:rPr>
                <w:lang w:val="en-US"/>
              </w:rPr>
            </w:pPr>
          </w:p>
        </w:tc>
        <w:tc>
          <w:tcPr>
            <w:tcW w:w="3260" w:type="dxa"/>
          </w:tcPr>
          <w:p w14:paraId="2A740321" w14:textId="2BFA9176" w:rsidR="00E54912" w:rsidRPr="006E3ED5" w:rsidRDefault="00E54912" w:rsidP="00E54912">
            <w:pPr>
              <w:rPr>
                <w:lang w:val="en-US"/>
              </w:rPr>
            </w:pPr>
          </w:p>
        </w:tc>
      </w:tr>
      <w:tr w:rsidR="00E54912" w:rsidRPr="0006544D" w14:paraId="167F8FA1" w14:textId="2FD14C3C" w:rsidTr="00A53BC0">
        <w:tc>
          <w:tcPr>
            <w:tcW w:w="2972" w:type="dxa"/>
          </w:tcPr>
          <w:p w14:paraId="25C52094" w14:textId="77777777" w:rsidR="00E54912" w:rsidRPr="006E3ED5" w:rsidRDefault="00E54912" w:rsidP="00E54912">
            <w:pPr>
              <w:rPr>
                <w:lang w:val="en-US"/>
              </w:rPr>
            </w:pPr>
            <w:r w:rsidRPr="006E3ED5">
              <w:rPr>
                <w:lang w:val="en-US"/>
              </w:rPr>
              <w:t>HPAI</w:t>
            </w:r>
          </w:p>
        </w:tc>
        <w:tc>
          <w:tcPr>
            <w:tcW w:w="3402" w:type="dxa"/>
          </w:tcPr>
          <w:p w14:paraId="013FE0C1" w14:textId="44E1CB86" w:rsidR="00E54912" w:rsidRPr="006E3ED5" w:rsidRDefault="00E54912" w:rsidP="00E54912">
            <w:pPr>
              <w:rPr>
                <w:lang w:val="en-US"/>
              </w:rPr>
            </w:pPr>
          </w:p>
        </w:tc>
        <w:tc>
          <w:tcPr>
            <w:tcW w:w="3969" w:type="dxa"/>
          </w:tcPr>
          <w:p w14:paraId="53379F3B" w14:textId="59D49C6D" w:rsidR="00E54912" w:rsidRPr="006E3ED5" w:rsidRDefault="00E54912" w:rsidP="00E54912">
            <w:pPr>
              <w:rPr>
                <w:lang w:val="en-US"/>
              </w:rPr>
            </w:pPr>
          </w:p>
        </w:tc>
        <w:tc>
          <w:tcPr>
            <w:tcW w:w="3260" w:type="dxa"/>
          </w:tcPr>
          <w:p w14:paraId="0B666BC6" w14:textId="77777777" w:rsidR="00E54912" w:rsidRPr="006E3ED5" w:rsidRDefault="00E54912" w:rsidP="00E54912">
            <w:pPr>
              <w:rPr>
                <w:lang w:val="en-US"/>
              </w:rPr>
            </w:pPr>
          </w:p>
        </w:tc>
      </w:tr>
      <w:tr w:rsidR="00E54912" w:rsidRPr="00D5177B" w14:paraId="7A6D378F" w14:textId="3290F07F" w:rsidTr="00A53BC0">
        <w:tc>
          <w:tcPr>
            <w:tcW w:w="2972" w:type="dxa"/>
          </w:tcPr>
          <w:p w14:paraId="36B5E05E" w14:textId="77777777" w:rsidR="00E54912" w:rsidRPr="006E3ED5" w:rsidRDefault="00E54912" w:rsidP="00E54912">
            <w:pPr>
              <w:rPr>
                <w:lang w:val="en-US"/>
              </w:rPr>
            </w:pPr>
            <w:r w:rsidRPr="006E3ED5">
              <w:rPr>
                <w:lang w:val="en-US"/>
              </w:rPr>
              <w:t>Rabies</w:t>
            </w:r>
          </w:p>
        </w:tc>
        <w:tc>
          <w:tcPr>
            <w:tcW w:w="3402" w:type="dxa"/>
          </w:tcPr>
          <w:p w14:paraId="080682CA" w14:textId="7BE07D98" w:rsidR="00E54912" w:rsidRPr="006E3ED5" w:rsidRDefault="00E54912" w:rsidP="00E54912">
            <w:pPr>
              <w:rPr>
                <w:lang w:val="en-US"/>
              </w:rPr>
            </w:pPr>
          </w:p>
        </w:tc>
        <w:tc>
          <w:tcPr>
            <w:tcW w:w="3969" w:type="dxa"/>
          </w:tcPr>
          <w:p w14:paraId="15C43C4A" w14:textId="14BA48FA" w:rsidR="00E54912" w:rsidRPr="006E3ED5" w:rsidRDefault="00E54912" w:rsidP="00E54912">
            <w:pPr>
              <w:rPr>
                <w:lang w:val="en-US"/>
              </w:rPr>
            </w:pPr>
          </w:p>
        </w:tc>
        <w:tc>
          <w:tcPr>
            <w:tcW w:w="3260" w:type="dxa"/>
          </w:tcPr>
          <w:p w14:paraId="7D66F606" w14:textId="309ADA30" w:rsidR="00E54912" w:rsidRPr="006E3ED5" w:rsidRDefault="00E54912" w:rsidP="00E54912">
            <w:pPr>
              <w:rPr>
                <w:lang w:val="en-US"/>
              </w:rPr>
            </w:pPr>
          </w:p>
        </w:tc>
      </w:tr>
      <w:tr w:rsidR="00E54912" w:rsidRPr="0006544D" w14:paraId="5ACE4B29" w14:textId="0A1BE9CD" w:rsidTr="00A53BC0">
        <w:tc>
          <w:tcPr>
            <w:tcW w:w="2972" w:type="dxa"/>
          </w:tcPr>
          <w:p w14:paraId="4AF958BE" w14:textId="77777777" w:rsidR="00E54912" w:rsidRPr="006E3ED5" w:rsidRDefault="00E54912" w:rsidP="00E54912">
            <w:pPr>
              <w:rPr>
                <w:lang w:val="en-US"/>
              </w:rPr>
            </w:pPr>
            <w:r w:rsidRPr="006E3ED5">
              <w:rPr>
                <w:lang w:val="en-US"/>
              </w:rPr>
              <w:t>LSD</w:t>
            </w:r>
          </w:p>
        </w:tc>
        <w:tc>
          <w:tcPr>
            <w:tcW w:w="3402" w:type="dxa"/>
          </w:tcPr>
          <w:p w14:paraId="0C98CDD9" w14:textId="43270227" w:rsidR="00E54912" w:rsidRPr="006E3ED5" w:rsidRDefault="00E54912" w:rsidP="00E54912">
            <w:pPr>
              <w:rPr>
                <w:lang w:val="en-US"/>
              </w:rPr>
            </w:pPr>
          </w:p>
        </w:tc>
        <w:tc>
          <w:tcPr>
            <w:tcW w:w="3969" w:type="dxa"/>
          </w:tcPr>
          <w:p w14:paraId="46E90B66" w14:textId="77777777" w:rsidR="00E54912" w:rsidRPr="006E3ED5" w:rsidRDefault="00E54912" w:rsidP="00E54912">
            <w:pPr>
              <w:rPr>
                <w:lang w:val="en-US"/>
              </w:rPr>
            </w:pPr>
          </w:p>
        </w:tc>
        <w:tc>
          <w:tcPr>
            <w:tcW w:w="3260" w:type="dxa"/>
          </w:tcPr>
          <w:p w14:paraId="6BE50EED" w14:textId="6A27193E" w:rsidR="00E54912" w:rsidRPr="006E3ED5" w:rsidRDefault="00E54912" w:rsidP="00E54912">
            <w:pPr>
              <w:rPr>
                <w:lang w:val="en-US"/>
              </w:rPr>
            </w:pPr>
          </w:p>
        </w:tc>
      </w:tr>
    </w:tbl>
    <w:p w14:paraId="5CA1A421" w14:textId="22EDF317" w:rsidR="003E24F7" w:rsidRPr="0000309C" w:rsidRDefault="003E24F7" w:rsidP="0CE7A53F">
      <w:pPr>
        <w:pStyle w:val="Heading1"/>
        <w:rPr>
          <w:lang w:val="en-US"/>
        </w:rPr>
      </w:pPr>
      <w:r w:rsidRPr="36C17C6A">
        <w:rPr>
          <w:lang w:val="en-US"/>
        </w:rPr>
        <w:t xml:space="preserve">Annex </w:t>
      </w:r>
      <w:r w:rsidR="5C670C45" w:rsidRPr="36C17C6A">
        <w:rPr>
          <w:lang w:val="en-US"/>
        </w:rPr>
        <w:t>3</w:t>
      </w:r>
      <w:r w:rsidRPr="36C17C6A">
        <w:rPr>
          <w:lang w:val="en-US"/>
        </w:rPr>
        <w:t xml:space="preserve"> – Logical framework</w:t>
      </w:r>
      <w:r w:rsidR="009C7D13" w:rsidRPr="36C17C6A">
        <w:rPr>
          <w:lang w:val="en-US"/>
        </w:rPr>
        <w:t xml:space="preserve">, </w:t>
      </w:r>
      <w:r w:rsidR="00270EAF" w:rsidRPr="36C17C6A">
        <w:rPr>
          <w:lang w:val="en-US"/>
        </w:rPr>
        <w:t>Key Performance Indicators (</w:t>
      </w:r>
      <w:r w:rsidR="009C7D13" w:rsidRPr="36C17C6A">
        <w:rPr>
          <w:lang w:val="en-US"/>
        </w:rPr>
        <w:t>KPIs</w:t>
      </w:r>
      <w:r w:rsidR="00270EAF" w:rsidRPr="36C17C6A">
        <w:rPr>
          <w:lang w:val="en-US"/>
        </w:rPr>
        <w:t>)</w:t>
      </w:r>
      <w:r w:rsidR="00C366D0" w:rsidRPr="36C17C6A">
        <w:rPr>
          <w:lang w:val="en-US"/>
        </w:rPr>
        <w:t xml:space="preserve"> and activities </w:t>
      </w:r>
      <w:r w:rsidR="00A640FA" w:rsidRPr="36C17C6A">
        <w:rPr>
          <w:lang w:val="en-US"/>
        </w:rPr>
        <w:t>timetable</w:t>
      </w:r>
    </w:p>
    <w:p w14:paraId="5FA09353" w14:textId="77777777" w:rsidR="0092755E" w:rsidRDefault="0092755E" w:rsidP="0092755E">
      <w:pPr>
        <w:rPr>
          <w:lang w:val="en-US"/>
        </w:rPr>
      </w:pPr>
    </w:p>
    <w:p w14:paraId="1ED176C9" w14:textId="1009E227" w:rsidR="0016622C" w:rsidRDefault="00C02199" w:rsidP="0092755E">
      <w:pPr>
        <w:rPr>
          <w:lang w:val="en-US"/>
        </w:rPr>
      </w:pPr>
      <w:r>
        <w:rPr>
          <w:lang w:val="en-US"/>
        </w:rPr>
        <w:t>KPIs to be</w:t>
      </w:r>
      <w:r w:rsidR="00A16024">
        <w:rPr>
          <w:lang w:val="en-US"/>
        </w:rPr>
        <w:t xml:space="preserve"> integrated into this action plan after approval by the GF</w:t>
      </w:r>
      <w:r w:rsidR="00C65589">
        <w:rPr>
          <w:lang w:val="en-US"/>
        </w:rPr>
        <w:t>-</w:t>
      </w:r>
      <w:r w:rsidR="00A16024">
        <w:rPr>
          <w:lang w:val="en-US"/>
        </w:rPr>
        <w:t xml:space="preserve">TADs GSC. </w:t>
      </w:r>
    </w:p>
    <w:p w14:paraId="539BAC11" w14:textId="77777777" w:rsidR="00507724" w:rsidRDefault="00507724" w:rsidP="0092755E">
      <w:pPr>
        <w:rPr>
          <w:lang w:val="en-US"/>
        </w:rPr>
      </w:pPr>
    </w:p>
    <w:p w14:paraId="301100CD" w14:textId="2D793DDD" w:rsidR="003E24F7" w:rsidRPr="0000309C" w:rsidRDefault="00A640FA" w:rsidP="003E24F7">
      <w:pPr>
        <w:pStyle w:val="Heading1"/>
        <w:rPr>
          <w:lang w:val="en-US"/>
        </w:rPr>
      </w:pPr>
      <w:r w:rsidRPr="36C17C6A">
        <w:rPr>
          <w:lang w:val="en-US"/>
        </w:rPr>
        <w:t xml:space="preserve">Annex </w:t>
      </w:r>
      <w:r w:rsidR="3B768724" w:rsidRPr="36C17C6A">
        <w:rPr>
          <w:lang w:val="en-US"/>
        </w:rPr>
        <w:t>4</w:t>
      </w:r>
      <w:r w:rsidR="00E203AF" w:rsidRPr="36C17C6A">
        <w:rPr>
          <w:lang w:val="en-US"/>
        </w:rPr>
        <w:t xml:space="preserve"> –</w:t>
      </w:r>
      <w:r w:rsidR="003E24F7" w:rsidRPr="36C17C6A">
        <w:rPr>
          <w:lang w:val="en-US"/>
        </w:rPr>
        <w:t xml:space="preserve"> </w:t>
      </w:r>
      <w:r w:rsidR="00523E7E" w:rsidRPr="36C17C6A">
        <w:rPr>
          <w:lang w:val="en-US"/>
        </w:rPr>
        <w:t>Global GF</w:t>
      </w:r>
      <w:r w:rsidR="00C65589" w:rsidRPr="36C17C6A">
        <w:rPr>
          <w:lang w:val="en-US"/>
        </w:rPr>
        <w:t>-</w:t>
      </w:r>
      <w:r w:rsidR="00523E7E" w:rsidRPr="36C17C6A">
        <w:rPr>
          <w:lang w:val="en-US"/>
        </w:rPr>
        <w:t xml:space="preserve">TADs </w:t>
      </w:r>
      <w:r w:rsidR="003E24F7" w:rsidRPr="36C17C6A">
        <w:rPr>
          <w:lang w:val="en-US"/>
        </w:rPr>
        <w:t xml:space="preserve">Theory of change diagram </w:t>
      </w:r>
    </w:p>
    <w:p w14:paraId="1D0258F8" w14:textId="63C23677" w:rsidR="003E24F7" w:rsidRPr="0000309C" w:rsidRDefault="003E24F7" w:rsidP="003E24F7">
      <w:pPr>
        <w:rPr>
          <w:lang w:val="en-US"/>
        </w:rPr>
      </w:pPr>
    </w:p>
    <w:p w14:paraId="69D8C265" w14:textId="3BFE64A3" w:rsidR="2043B045" w:rsidRPr="0000309C" w:rsidRDefault="2043B045" w:rsidP="0CE7A53F">
      <w:pPr>
        <w:rPr>
          <w:lang w:val="en-US"/>
        </w:rPr>
      </w:pPr>
    </w:p>
    <w:p w14:paraId="5188E229" w14:textId="0FED32A0" w:rsidR="00BE3E3F" w:rsidRPr="0000309C" w:rsidRDefault="0CE7A53F">
      <w:pPr>
        <w:rPr>
          <w:lang w:val="en-US"/>
        </w:rPr>
      </w:pPr>
      <w:r w:rsidRPr="0000309C">
        <w:rPr>
          <w:noProof/>
          <w:lang w:val="en-US"/>
        </w:rPr>
        <w:drawing>
          <wp:inline distT="0" distB="0" distL="0" distR="0" wp14:anchorId="778CE839" wp14:editId="06FA0089">
            <wp:extent cx="7953375" cy="4954290"/>
            <wp:effectExtent l="0" t="0" r="0" b="0"/>
            <wp:docPr id="500885939" name="Picture 50088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59981" cy="4958405"/>
                    </a:xfrm>
                    <a:prstGeom prst="rect">
                      <a:avLst/>
                    </a:prstGeom>
                  </pic:spPr>
                </pic:pic>
              </a:graphicData>
            </a:graphic>
          </wp:inline>
        </w:drawing>
      </w:r>
    </w:p>
    <w:sectPr w:rsidR="00BE3E3F" w:rsidRPr="0000309C" w:rsidSect="009275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1611" w14:textId="77777777" w:rsidR="00D02996" w:rsidRDefault="00D02996" w:rsidP="00F66C06">
      <w:pPr>
        <w:spacing w:after="0" w:line="240" w:lineRule="auto"/>
      </w:pPr>
      <w:r>
        <w:separator/>
      </w:r>
    </w:p>
  </w:endnote>
  <w:endnote w:type="continuationSeparator" w:id="0">
    <w:p w14:paraId="002E3EAB" w14:textId="77777777" w:rsidR="00D02996" w:rsidRDefault="00D02996" w:rsidP="00F66C06">
      <w:pPr>
        <w:spacing w:after="0" w:line="240" w:lineRule="auto"/>
      </w:pPr>
      <w:r>
        <w:continuationSeparator/>
      </w:r>
    </w:p>
  </w:endnote>
  <w:endnote w:type="continuationNotice" w:id="1">
    <w:p w14:paraId="329BF293" w14:textId="77777777" w:rsidR="00D02996" w:rsidRDefault="00D02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30E" w14:textId="77777777" w:rsidR="006F6F60" w:rsidRDefault="006F6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8720" w14:textId="77777777" w:rsidR="006F6F60" w:rsidRDefault="006F6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6C81" w14:textId="77777777" w:rsidR="006F6F60" w:rsidRDefault="006F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4AC8" w14:textId="77777777" w:rsidR="00D02996" w:rsidRDefault="00D02996" w:rsidP="00F66C06">
      <w:pPr>
        <w:spacing w:after="0" w:line="240" w:lineRule="auto"/>
      </w:pPr>
      <w:r>
        <w:separator/>
      </w:r>
    </w:p>
  </w:footnote>
  <w:footnote w:type="continuationSeparator" w:id="0">
    <w:p w14:paraId="3DD0BA22" w14:textId="77777777" w:rsidR="00D02996" w:rsidRDefault="00D02996" w:rsidP="00F66C06">
      <w:pPr>
        <w:spacing w:after="0" w:line="240" w:lineRule="auto"/>
      </w:pPr>
      <w:r>
        <w:continuationSeparator/>
      </w:r>
    </w:p>
  </w:footnote>
  <w:footnote w:type="continuationNotice" w:id="1">
    <w:p w14:paraId="7FED5DAC" w14:textId="77777777" w:rsidR="00D02996" w:rsidRDefault="00D02996">
      <w:pPr>
        <w:spacing w:after="0" w:line="240" w:lineRule="auto"/>
      </w:pPr>
    </w:p>
  </w:footnote>
  <w:footnote w:id="2">
    <w:p w14:paraId="485B97FD" w14:textId="372B1116" w:rsidR="00F66C06" w:rsidRPr="000043DE" w:rsidRDefault="00F66C06">
      <w:pPr>
        <w:pStyle w:val="FootnoteText"/>
        <w:rPr>
          <w:lang w:val="en-IE"/>
        </w:rPr>
      </w:pPr>
      <w:r>
        <w:rPr>
          <w:rStyle w:val="FootnoteReference"/>
        </w:rPr>
        <w:footnoteRef/>
      </w:r>
      <w:r w:rsidRPr="000043DE">
        <w:rPr>
          <w:lang w:val="en-IE"/>
        </w:rPr>
        <w:t xml:space="preserve"> </w:t>
      </w:r>
      <w:r>
        <w:rPr>
          <w:lang w:val="en-IE"/>
        </w:rPr>
        <w:t xml:space="preserve">Please insert link to Global </w:t>
      </w:r>
      <w:r w:rsidR="005F2726">
        <w:rPr>
          <w:lang w:val="en-IE"/>
        </w:rPr>
        <w:t>A</w:t>
      </w:r>
      <w:r>
        <w:rPr>
          <w:lang w:val="en-IE"/>
        </w:rPr>
        <w:t xml:space="preserve">ction </w:t>
      </w:r>
      <w:r w:rsidR="005F2726">
        <w:rPr>
          <w:lang w:val="en-IE"/>
        </w:rPr>
        <w:t>P</w:t>
      </w:r>
      <w:r>
        <w:rPr>
          <w:lang w:val="en-IE"/>
        </w:rPr>
        <w:t>lan</w:t>
      </w:r>
    </w:p>
  </w:footnote>
  <w:footnote w:id="3">
    <w:p w14:paraId="106FA729" w14:textId="6E60D691" w:rsidR="009A0254" w:rsidRPr="000043DE" w:rsidRDefault="009A0254">
      <w:pPr>
        <w:pStyle w:val="FootnoteText"/>
        <w:rPr>
          <w:lang w:val="en-US"/>
        </w:rPr>
      </w:pPr>
      <w:r>
        <w:rPr>
          <w:rStyle w:val="FootnoteReference"/>
        </w:rPr>
        <w:footnoteRef/>
      </w:r>
      <w:r w:rsidRPr="000043DE">
        <w:rPr>
          <w:lang w:val="en-US"/>
        </w:rPr>
        <w:t xml:space="preserve"> </w:t>
      </w:r>
      <w:r w:rsidR="00676CA4">
        <w:rPr>
          <w:lang w:val="en-US"/>
        </w:rPr>
        <w:t>Such as WOAH PVS and FAO SAT</w:t>
      </w:r>
    </w:p>
  </w:footnote>
  <w:footnote w:id="4">
    <w:p w14:paraId="04027101" w14:textId="68966332" w:rsidR="00BC15D7" w:rsidRPr="000043DE" w:rsidRDefault="00BC15D7">
      <w:pPr>
        <w:pStyle w:val="FootnoteText"/>
        <w:rPr>
          <w:lang w:val="en-US"/>
        </w:rPr>
      </w:pPr>
      <w:r>
        <w:rPr>
          <w:rStyle w:val="FootnoteReference"/>
        </w:rPr>
        <w:footnoteRef/>
      </w:r>
      <w:r w:rsidRPr="000043DE">
        <w:rPr>
          <w:lang w:val="en-US"/>
        </w:rPr>
        <w:t xml:space="preserve"> </w:t>
      </w:r>
      <w:r w:rsidRPr="000043DE">
        <w:rPr>
          <w:rStyle w:val="cf01"/>
          <w:lang w:val="en-US"/>
        </w:rPr>
        <w:t>One full meeting, and a possible 2nd short meeting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1AE3" w14:textId="77777777" w:rsidR="006F6F60" w:rsidRDefault="006F6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4FFA" w14:textId="77777777" w:rsidR="006F6F60" w:rsidRDefault="006F6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FFAE" w14:textId="77777777" w:rsidR="006F6F60" w:rsidRDefault="006F6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82E"/>
    <w:multiLevelType w:val="hybridMultilevel"/>
    <w:tmpl w:val="C02E50EC"/>
    <w:lvl w:ilvl="0" w:tplc="B51472E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C380C"/>
    <w:multiLevelType w:val="hybridMultilevel"/>
    <w:tmpl w:val="A8C636EC"/>
    <w:lvl w:ilvl="0" w:tplc="452E7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154F"/>
    <w:multiLevelType w:val="multilevel"/>
    <w:tmpl w:val="3CDC2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AB3F8A"/>
    <w:multiLevelType w:val="multilevel"/>
    <w:tmpl w:val="827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B4FFB"/>
    <w:multiLevelType w:val="hybridMultilevel"/>
    <w:tmpl w:val="4696706E"/>
    <w:lvl w:ilvl="0" w:tplc="B51472E6">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BC7D91"/>
    <w:multiLevelType w:val="hybridMultilevel"/>
    <w:tmpl w:val="DC4A8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F727E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EC17A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BD6DF1"/>
    <w:multiLevelType w:val="hybridMultilevel"/>
    <w:tmpl w:val="28CEE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256C2"/>
    <w:multiLevelType w:val="singleLevel"/>
    <w:tmpl w:val="D2A0D070"/>
    <w:lvl w:ilvl="0">
      <w:start w:val="1"/>
      <w:numFmt w:val="decimal"/>
      <w:lvlText w:val="%1."/>
      <w:lvlJc w:val="left"/>
      <w:pPr>
        <w:ind w:left="1080" w:hanging="360"/>
      </w:pPr>
      <w:rPr>
        <w:rFonts w:ascii="Arial" w:hAnsi="Arial" w:cs="Times New Roman" w:hint="default"/>
        <w:b w:val="0"/>
        <w:i w:val="0"/>
        <w:color w:val="C00000"/>
        <w:sz w:val="20"/>
      </w:rPr>
    </w:lvl>
  </w:abstractNum>
  <w:num w:numId="1" w16cid:durableId="2136673290">
    <w:abstractNumId w:val="2"/>
  </w:num>
  <w:num w:numId="2" w16cid:durableId="1712925253">
    <w:abstractNumId w:val="7"/>
  </w:num>
  <w:num w:numId="3" w16cid:durableId="313221692">
    <w:abstractNumId w:val="6"/>
  </w:num>
  <w:num w:numId="4" w16cid:durableId="237136342">
    <w:abstractNumId w:val="9"/>
  </w:num>
  <w:num w:numId="5" w16cid:durableId="1355964852">
    <w:abstractNumId w:val="5"/>
  </w:num>
  <w:num w:numId="6" w16cid:durableId="1174371435">
    <w:abstractNumId w:val="8"/>
  </w:num>
  <w:num w:numId="7" w16cid:durableId="1772238132">
    <w:abstractNumId w:val="4"/>
  </w:num>
  <w:num w:numId="8" w16cid:durableId="233781450">
    <w:abstractNumId w:val="0"/>
  </w:num>
  <w:num w:numId="9" w16cid:durableId="1084106873">
    <w:abstractNumId w:val="1"/>
  </w:num>
  <w:num w:numId="10" w16cid:durableId="1775977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E3E3F"/>
    <w:rsid w:val="0000309C"/>
    <w:rsid w:val="00003B63"/>
    <w:rsid w:val="000043DE"/>
    <w:rsid w:val="00005AFF"/>
    <w:rsid w:val="000178AB"/>
    <w:rsid w:val="00020372"/>
    <w:rsid w:val="00023FC8"/>
    <w:rsid w:val="00025BAF"/>
    <w:rsid w:val="00027C98"/>
    <w:rsid w:val="00032134"/>
    <w:rsid w:val="000331CA"/>
    <w:rsid w:val="000353EF"/>
    <w:rsid w:val="000410DE"/>
    <w:rsid w:val="00042039"/>
    <w:rsid w:val="00043B2B"/>
    <w:rsid w:val="000474C4"/>
    <w:rsid w:val="00052EB1"/>
    <w:rsid w:val="00053B87"/>
    <w:rsid w:val="000549CD"/>
    <w:rsid w:val="00054AD4"/>
    <w:rsid w:val="00054E86"/>
    <w:rsid w:val="0005504C"/>
    <w:rsid w:val="0006205C"/>
    <w:rsid w:val="00062B61"/>
    <w:rsid w:val="0006544D"/>
    <w:rsid w:val="00070D9A"/>
    <w:rsid w:val="00071D74"/>
    <w:rsid w:val="0007205F"/>
    <w:rsid w:val="000720F9"/>
    <w:rsid w:val="00075EB8"/>
    <w:rsid w:val="00076384"/>
    <w:rsid w:val="0007783F"/>
    <w:rsid w:val="0008023C"/>
    <w:rsid w:val="00086A60"/>
    <w:rsid w:val="000870C2"/>
    <w:rsid w:val="00087B77"/>
    <w:rsid w:val="00090EF4"/>
    <w:rsid w:val="00092D3F"/>
    <w:rsid w:val="00097ED0"/>
    <w:rsid w:val="000A13C1"/>
    <w:rsid w:val="000A2865"/>
    <w:rsid w:val="000A5C82"/>
    <w:rsid w:val="000B048B"/>
    <w:rsid w:val="000B1292"/>
    <w:rsid w:val="000B23E3"/>
    <w:rsid w:val="000B2BB5"/>
    <w:rsid w:val="000B3B15"/>
    <w:rsid w:val="000B595D"/>
    <w:rsid w:val="000B6748"/>
    <w:rsid w:val="000B70D9"/>
    <w:rsid w:val="000B7ECD"/>
    <w:rsid w:val="000C15BF"/>
    <w:rsid w:val="000C39AF"/>
    <w:rsid w:val="000C67C0"/>
    <w:rsid w:val="000D2B14"/>
    <w:rsid w:val="000D38AD"/>
    <w:rsid w:val="000D4489"/>
    <w:rsid w:val="000D488B"/>
    <w:rsid w:val="000D59B9"/>
    <w:rsid w:val="000D6851"/>
    <w:rsid w:val="000D6FCC"/>
    <w:rsid w:val="000E02EA"/>
    <w:rsid w:val="000E26E8"/>
    <w:rsid w:val="000F18CB"/>
    <w:rsid w:val="000F27EE"/>
    <w:rsid w:val="000F4A0C"/>
    <w:rsid w:val="000F621E"/>
    <w:rsid w:val="000F6902"/>
    <w:rsid w:val="000F7D63"/>
    <w:rsid w:val="00110960"/>
    <w:rsid w:val="001139AB"/>
    <w:rsid w:val="00113AF0"/>
    <w:rsid w:val="00113D31"/>
    <w:rsid w:val="00115C8C"/>
    <w:rsid w:val="0012391B"/>
    <w:rsid w:val="001242D2"/>
    <w:rsid w:val="00131623"/>
    <w:rsid w:val="0013470E"/>
    <w:rsid w:val="00135D3B"/>
    <w:rsid w:val="00137B54"/>
    <w:rsid w:val="001420A1"/>
    <w:rsid w:val="00146C17"/>
    <w:rsid w:val="001530CC"/>
    <w:rsid w:val="00155A83"/>
    <w:rsid w:val="00160C89"/>
    <w:rsid w:val="0016104C"/>
    <w:rsid w:val="00161722"/>
    <w:rsid w:val="00164A67"/>
    <w:rsid w:val="0016622C"/>
    <w:rsid w:val="00166293"/>
    <w:rsid w:val="00166DAA"/>
    <w:rsid w:val="0017046D"/>
    <w:rsid w:val="00173B15"/>
    <w:rsid w:val="0017680D"/>
    <w:rsid w:val="00180690"/>
    <w:rsid w:val="00181FE4"/>
    <w:rsid w:val="00182F9C"/>
    <w:rsid w:val="00184C6F"/>
    <w:rsid w:val="00184CB7"/>
    <w:rsid w:val="00187ADD"/>
    <w:rsid w:val="00190F26"/>
    <w:rsid w:val="0019182F"/>
    <w:rsid w:val="001965FA"/>
    <w:rsid w:val="00196EDA"/>
    <w:rsid w:val="001A2280"/>
    <w:rsid w:val="001A2CCA"/>
    <w:rsid w:val="001A35B4"/>
    <w:rsid w:val="001A52F5"/>
    <w:rsid w:val="001B2E37"/>
    <w:rsid w:val="001B4159"/>
    <w:rsid w:val="001B4BD7"/>
    <w:rsid w:val="001B6202"/>
    <w:rsid w:val="001C1127"/>
    <w:rsid w:val="001C2255"/>
    <w:rsid w:val="001C3B17"/>
    <w:rsid w:val="001C6E17"/>
    <w:rsid w:val="001D24F6"/>
    <w:rsid w:val="001D38BF"/>
    <w:rsid w:val="001D5748"/>
    <w:rsid w:val="001D5EED"/>
    <w:rsid w:val="001D6555"/>
    <w:rsid w:val="001D668D"/>
    <w:rsid w:val="001E0E56"/>
    <w:rsid w:val="001E405E"/>
    <w:rsid w:val="001E446A"/>
    <w:rsid w:val="001E4902"/>
    <w:rsid w:val="001F716F"/>
    <w:rsid w:val="001F75B1"/>
    <w:rsid w:val="002019CD"/>
    <w:rsid w:val="002040B6"/>
    <w:rsid w:val="00204A9B"/>
    <w:rsid w:val="00205A87"/>
    <w:rsid w:val="00205F29"/>
    <w:rsid w:val="00207B10"/>
    <w:rsid w:val="00207DF0"/>
    <w:rsid w:val="002112BF"/>
    <w:rsid w:val="00211CAD"/>
    <w:rsid w:val="00213363"/>
    <w:rsid w:val="00214057"/>
    <w:rsid w:val="00214C3F"/>
    <w:rsid w:val="0022321F"/>
    <w:rsid w:val="00223D60"/>
    <w:rsid w:val="002248A5"/>
    <w:rsid w:val="00226015"/>
    <w:rsid w:val="00232467"/>
    <w:rsid w:val="00232A1D"/>
    <w:rsid w:val="00235210"/>
    <w:rsid w:val="002356A2"/>
    <w:rsid w:val="00237F95"/>
    <w:rsid w:val="00247858"/>
    <w:rsid w:val="00250706"/>
    <w:rsid w:val="00254CA6"/>
    <w:rsid w:val="00261743"/>
    <w:rsid w:val="002622A1"/>
    <w:rsid w:val="00265056"/>
    <w:rsid w:val="00267508"/>
    <w:rsid w:val="00270390"/>
    <w:rsid w:val="00270EAF"/>
    <w:rsid w:val="002728F0"/>
    <w:rsid w:val="002730F8"/>
    <w:rsid w:val="002968DB"/>
    <w:rsid w:val="002A2D9B"/>
    <w:rsid w:val="002A52F4"/>
    <w:rsid w:val="002A72FC"/>
    <w:rsid w:val="002B1A02"/>
    <w:rsid w:val="002B43A1"/>
    <w:rsid w:val="002B5A14"/>
    <w:rsid w:val="002B5FAE"/>
    <w:rsid w:val="002B6349"/>
    <w:rsid w:val="002C7BB2"/>
    <w:rsid w:val="002D068F"/>
    <w:rsid w:val="002D1486"/>
    <w:rsid w:val="002D2152"/>
    <w:rsid w:val="002D271B"/>
    <w:rsid w:val="002D273F"/>
    <w:rsid w:val="002D3574"/>
    <w:rsid w:val="002D3F68"/>
    <w:rsid w:val="002E7614"/>
    <w:rsid w:val="00302062"/>
    <w:rsid w:val="003066A1"/>
    <w:rsid w:val="0031049F"/>
    <w:rsid w:val="00314071"/>
    <w:rsid w:val="0031570A"/>
    <w:rsid w:val="0032367B"/>
    <w:rsid w:val="00325118"/>
    <w:rsid w:val="003259AE"/>
    <w:rsid w:val="00326C3A"/>
    <w:rsid w:val="003357C9"/>
    <w:rsid w:val="00336B8F"/>
    <w:rsid w:val="00337143"/>
    <w:rsid w:val="00337967"/>
    <w:rsid w:val="00341B4C"/>
    <w:rsid w:val="00342C32"/>
    <w:rsid w:val="00344E11"/>
    <w:rsid w:val="00346AD6"/>
    <w:rsid w:val="003559DF"/>
    <w:rsid w:val="00357EE2"/>
    <w:rsid w:val="0036035C"/>
    <w:rsid w:val="003605D3"/>
    <w:rsid w:val="00360B13"/>
    <w:rsid w:val="003615F3"/>
    <w:rsid w:val="00361921"/>
    <w:rsid w:val="00365C1C"/>
    <w:rsid w:val="0036688A"/>
    <w:rsid w:val="003674B3"/>
    <w:rsid w:val="003679F3"/>
    <w:rsid w:val="0037135A"/>
    <w:rsid w:val="00371BED"/>
    <w:rsid w:val="00372449"/>
    <w:rsid w:val="00372F6E"/>
    <w:rsid w:val="00374509"/>
    <w:rsid w:val="00374929"/>
    <w:rsid w:val="0037494E"/>
    <w:rsid w:val="00376898"/>
    <w:rsid w:val="00377AB0"/>
    <w:rsid w:val="00380515"/>
    <w:rsid w:val="00380CD1"/>
    <w:rsid w:val="003848B6"/>
    <w:rsid w:val="00387CCF"/>
    <w:rsid w:val="00390431"/>
    <w:rsid w:val="00391EF3"/>
    <w:rsid w:val="00393036"/>
    <w:rsid w:val="003A2D98"/>
    <w:rsid w:val="003A6047"/>
    <w:rsid w:val="003A67A8"/>
    <w:rsid w:val="003A71A2"/>
    <w:rsid w:val="003B1400"/>
    <w:rsid w:val="003B34D9"/>
    <w:rsid w:val="003B50BC"/>
    <w:rsid w:val="003B65B0"/>
    <w:rsid w:val="003B68C9"/>
    <w:rsid w:val="003C0C8D"/>
    <w:rsid w:val="003C5525"/>
    <w:rsid w:val="003C679E"/>
    <w:rsid w:val="003C6C5E"/>
    <w:rsid w:val="003C6F16"/>
    <w:rsid w:val="003C7D02"/>
    <w:rsid w:val="003D2E3A"/>
    <w:rsid w:val="003D4354"/>
    <w:rsid w:val="003D4A50"/>
    <w:rsid w:val="003D4A60"/>
    <w:rsid w:val="003D7C55"/>
    <w:rsid w:val="003E1205"/>
    <w:rsid w:val="003E1EA9"/>
    <w:rsid w:val="003E24F7"/>
    <w:rsid w:val="003E2911"/>
    <w:rsid w:val="003E3055"/>
    <w:rsid w:val="003E3874"/>
    <w:rsid w:val="003E3C54"/>
    <w:rsid w:val="003E542D"/>
    <w:rsid w:val="003E5F2A"/>
    <w:rsid w:val="003F1665"/>
    <w:rsid w:val="003F1C46"/>
    <w:rsid w:val="003F1DC0"/>
    <w:rsid w:val="003F4A15"/>
    <w:rsid w:val="003F4E97"/>
    <w:rsid w:val="003F5240"/>
    <w:rsid w:val="003F55B4"/>
    <w:rsid w:val="003F62B9"/>
    <w:rsid w:val="003F6878"/>
    <w:rsid w:val="00400F17"/>
    <w:rsid w:val="0040155D"/>
    <w:rsid w:val="004042E8"/>
    <w:rsid w:val="004068B2"/>
    <w:rsid w:val="00406E3F"/>
    <w:rsid w:val="00407E4E"/>
    <w:rsid w:val="004117DD"/>
    <w:rsid w:val="00413306"/>
    <w:rsid w:val="0041424E"/>
    <w:rsid w:val="004209AD"/>
    <w:rsid w:val="00423519"/>
    <w:rsid w:val="004244BA"/>
    <w:rsid w:val="00424787"/>
    <w:rsid w:val="004267B2"/>
    <w:rsid w:val="00431AFE"/>
    <w:rsid w:val="00431D70"/>
    <w:rsid w:val="0043424B"/>
    <w:rsid w:val="004420CD"/>
    <w:rsid w:val="004445FB"/>
    <w:rsid w:val="00444CD5"/>
    <w:rsid w:val="00446D50"/>
    <w:rsid w:val="00450778"/>
    <w:rsid w:val="00452620"/>
    <w:rsid w:val="00453433"/>
    <w:rsid w:val="00456641"/>
    <w:rsid w:val="0046027C"/>
    <w:rsid w:val="00460E5C"/>
    <w:rsid w:val="0046141D"/>
    <w:rsid w:val="00462C62"/>
    <w:rsid w:val="00462D97"/>
    <w:rsid w:val="00462E84"/>
    <w:rsid w:val="00463C5C"/>
    <w:rsid w:val="00463D1D"/>
    <w:rsid w:val="00463F50"/>
    <w:rsid w:val="004645E1"/>
    <w:rsid w:val="004669D8"/>
    <w:rsid w:val="00471BD4"/>
    <w:rsid w:val="00474183"/>
    <w:rsid w:val="00477023"/>
    <w:rsid w:val="0047736A"/>
    <w:rsid w:val="004836B8"/>
    <w:rsid w:val="00490AC5"/>
    <w:rsid w:val="004961F1"/>
    <w:rsid w:val="004A2EB9"/>
    <w:rsid w:val="004B4F0A"/>
    <w:rsid w:val="004C0CF9"/>
    <w:rsid w:val="004D10D7"/>
    <w:rsid w:val="004D1C49"/>
    <w:rsid w:val="004D1F52"/>
    <w:rsid w:val="004D3151"/>
    <w:rsid w:val="004D4382"/>
    <w:rsid w:val="004E0400"/>
    <w:rsid w:val="004E35BF"/>
    <w:rsid w:val="004E3903"/>
    <w:rsid w:val="004E69B8"/>
    <w:rsid w:val="004F09EB"/>
    <w:rsid w:val="004F267C"/>
    <w:rsid w:val="004F2B7D"/>
    <w:rsid w:val="004F399B"/>
    <w:rsid w:val="00503163"/>
    <w:rsid w:val="0050368E"/>
    <w:rsid w:val="00506075"/>
    <w:rsid w:val="00507724"/>
    <w:rsid w:val="0050FDA6"/>
    <w:rsid w:val="0051030D"/>
    <w:rsid w:val="00511BCC"/>
    <w:rsid w:val="00512056"/>
    <w:rsid w:val="00513D6E"/>
    <w:rsid w:val="00515019"/>
    <w:rsid w:val="00515D18"/>
    <w:rsid w:val="00523996"/>
    <w:rsid w:val="00523AC1"/>
    <w:rsid w:val="00523E7E"/>
    <w:rsid w:val="00525604"/>
    <w:rsid w:val="00532B73"/>
    <w:rsid w:val="00533B77"/>
    <w:rsid w:val="00535B14"/>
    <w:rsid w:val="0053748F"/>
    <w:rsid w:val="00540056"/>
    <w:rsid w:val="005404E3"/>
    <w:rsid w:val="005438C4"/>
    <w:rsid w:val="005441C4"/>
    <w:rsid w:val="005513FC"/>
    <w:rsid w:val="005565BA"/>
    <w:rsid w:val="00562002"/>
    <w:rsid w:val="0056676B"/>
    <w:rsid w:val="00570466"/>
    <w:rsid w:val="00572A6F"/>
    <w:rsid w:val="00574C9F"/>
    <w:rsid w:val="00587D0D"/>
    <w:rsid w:val="00590305"/>
    <w:rsid w:val="00591EE3"/>
    <w:rsid w:val="005938F4"/>
    <w:rsid w:val="00594241"/>
    <w:rsid w:val="00594729"/>
    <w:rsid w:val="0059604F"/>
    <w:rsid w:val="005A0340"/>
    <w:rsid w:val="005A1946"/>
    <w:rsid w:val="005A2EE9"/>
    <w:rsid w:val="005A4ED6"/>
    <w:rsid w:val="005A7E02"/>
    <w:rsid w:val="005B1E7D"/>
    <w:rsid w:val="005B564A"/>
    <w:rsid w:val="005B6CB9"/>
    <w:rsid w:val="005C0949"/>
    <w:rsid w:val="005C1C73"/>
    <w:rsid w:val="005C2DB7"/>
    <w:rsid w:val="005C681B"/>
    <w:rsid w:val="005C6A11"/>
    <w:rsid w:val="005D1A7A"/>
    <w:rsid w:val="005D21CC"/>
    <w:rsid w:val="005D671A"/>
    <w:rsid w:val="005E3136"/>
    <w:rsid w:val="005E3E59"/>
    <w:rsid w:val="005E5105"/>
    <w:rsid w:val="005E5F55"/>
    <w:rsid w:val="005E6228"/>
    <w:rsid w:val="005F10CA"/>
    <w:rsid w:val="005F26DF"/>
    <w:rsid w:val="005F2726"/>
    <w:rsid w:val="005F3F13"/>
    <w:rsid w:val="005F4346"/>
    <w:rsid w:val="005F6E08"/>
    <w:rsid w:val="00602A00"/>
    <w:rsid w:val="006031E6"/>
    <w:rsid w:val="0060492A"/>
    <w:rsid w:val="00610C7E"/>
    <w:rsid w:val="00614CEF"/>
    <w:rsid w:val="00615EEA"/>
    <w:rsid w:val="0061615F"/>
    <w:rsid w:val="00620874"/>
    <w:rsid w:val="00623130"/>
    <w:rsid w:val="00630F52"/>
    <w:rsid w:val="0063322A"/>
    <w:rsid w:val="006356C6"/>
    <w:rsid w:val="006359AE"/>
    <w:rsid w:val="006417F7"/>
    <w:rsid w:val="006434EE"/>
    <w:rsid w:val="006468C0"/>
    <w:rsid w:val="00646B63"/>
    <w:rsid w:val="006509CF"/>
    <w:rsid w:val="00650EF1"/>
    <w:rsid w:val="00651BF9"/>
    <w:rsid w:val="00652CEE"/>
    <w:rsid w:val="00652DF2"/>
    <w:rsid w:val="0065419E"/>
    <w:rsid w:val="006621B0"/>
    <w:rsid w:val="0066314A"/>
    <w:rsid w:val="0066385F"/>
    <w:rsid w:val="00666E32"/>
    <w:rsid w:val="006718E4"/>
    <w:rsid w:val="00671BFF"/>
    <w:rsid w:val="00673C36"/>
    <w:rsid w:val="00676CA4"/>
    <w:rsid w:val="00682D6C"/>
    <w:rsid w:val="00683D8E"/>
    <w:rsid w:val="00686F98"/>
    <w:rsid w:val="006901C0"/>
    <w:rsid w:val="00694AF0"/>
    <w:rsid w:val="00696486"/>
    <w:rsid w:val="006A0BD6"/>
    <w:rsid w:val="006A168F"/>
    <w:rsid w:val="006A4C07"/>
    <w:rsid w:val="006A51DF"/>
    <w:rsid w:val="006A56BE"/>
    <w:rsid w:val="006A7B6A"/>
    <w:rsid w:val="006B0FB3"/>
    <w:rsid w:val="006B5090"/>
    <w:rsid w:val="006B55C8"/>
    <w:rsid w:val="006B5F28"/>
    <w:rsid w:val="006B6952"/>
    <w:rsid w:val="006D0048"/>
    <w:rsid w:val="006D20FD"/>
    <w:rsid w:val="006D3088"/>
    <w:rsid w:val="006D7496"/>
    <w:rsid w:val="006E01BC"/>
    <w:rsid w:val="006E0757"/>
    <w:rsid w:val="006E3C80"/>
    <w:rsid w:val="006E3E32"/>
    <w:rsid w:val="006F131E"/>
    <w:rsid w:val="006F1573"/>
    <w:rsid w:val="006F1C80"/>
    <w:rsid w:val="006F2F72"/>
    <w:rsid w:val="006F2FB2"/>
    <w:rsid w:val="006F49D1"/>
    <w:rsid w:val="006F4C23"/>
    <w:rsid w:val="006F6992"/>
    <w:rsid w:val="006F6F60"/>
    <w:rsid w:val="0070373E"/>
    <w:rsid w:val="0070713B"/>
    <w:rsid w:val="00714A18"/>
    <w:rsid w:val="00721085"/>
    <w:rsid w:val="00722579"/>
    <w:rsid w:val="007227F9"/>
    <w:rsid w:val="007253BC"/>
    <w:rsid w:val="007268B5"/>
    <w:rsid w:val="00727CB1"/>
    <w:rsid w:val="00731FE6"/>
    <w:rsid w:val="00736123"/>
    <w:rsid w:val="007371F1"/>
    <w:rsid w:val="00740F29"/>
    <w:rsid w:val="00742703"/>
    <w:rsid w:val="00743305"/>
    <w:rsid w:val="00744481"/>
    <w:rsid w:val="0074462C"/>
    <w:rsid w:val="00745EE8"/>
    <w:rsid w:val="0074700D"/>
    <w:rsid w:val="00750AC1"/>
    <w:rsid w:val="00751929"/>
    <w:rsid w:val="00753FFD"/>
    <w:rsid w:val="0075438C"/>
    <w:rsid w:val="00763586"/>
    <w:rsid w:val="0076436D"/>
    <w:rsid w:val="007649B6"/>
    <w:rsid w:val="00765686"/>
    <w:rsid w:val="007659F4"/>
    <w:rsid w:val="007664E4"/>
    <w:rsid w:val="00766F75"/>
    <w:rsid w:val="007675AB"/>
    <w:rsid w:val="00767FDE"/>
    <w:rsid w:val="00771414"/>
    <w:rsid w:val="00772B87"/>
    <w:rsid w:val="007767C4"/>
    <w:rsid w:val="00777B25"/>
    <w:rsid w:val="00792839"/>
    <w:rsid w:val="0079362E"/>
    <w:rsid w:val="007962C9"/>
    <w:rsid w:val="00797953"/>
    <w:rsid w:val="00797E5B"/>
    <w:rsid w:val="007A09C5"/>
    <w:rsid w:val="007A2F75"/>
    <w:rsid w:val="007A38D7"/>
    <w:rsid w:val="007A46C1"/>
    <w:rsid w:val="007A7745"/>
    <w:rsid w:val="007B19F0"/>
    <w:rsid w:val="007B2628"/>
    <w:rsid w:val="007B47C9"/>
    <w:rsid w:val="007B5923"/>
    <w:rsid w:val="007C4696"/>
    <w:rsid w:val="007C6B25"/>
    <w:rsid w:val="007C7D2D"/>
    <w:rsid w:val="007D1347"/>
    <w:rsid w:val="007D530A"/>
    <w:rsid w:val="007D5958"/>
    <w:rsid w:val="007D6EFE"/>
    <w:rsid w:val="007D7A10"/>
    <w:rsid w:val="007D7B1E"/>
    <w:rsid w:val="007E1A32"/>
    <w:rsid w:val="007E1C0B"/>
    <w:rsid w:val="007E1ECB"/>
    <w:rsid w:val="007E6814"/>
    <w:rsid w:val="007E776E"/>
    <w:rsid w:val="007F154B"/>
    <w:rsid w:val="007F2B86"/>
    <w:rsid w:val="007F31CD"/>
    <w:rsid w:val="007F49EB"/>
    <w:rsid w:val="007F541F"/>
    <w:rsid w:val="00801A9A"/>
    <w:rsid w:val="00802238"/>
    <w:rsid w:val="00802557"/>
    <w:rsid w:val="0080333E"/>
    <w:rsid w:val="008057D1"/>
    <w:rsid w:val="008073E6"/>
    <w:rsid w:val="008135E3"/>
    <w:rsid w:val="0081506A"/>
    <w:rsid w:val="00815205"/>
    <w:rsid w:val="00815865"/>
    <w:rsid w:val="00816748"/>
    <w:rsid w:val="0081720B"/>
    <w:rsid w:val="0082220C"/>
    <w:rsid w:val="00826824"/>
    <w:rsid w:val="00830B45"/>
    <w:rsid w:val="00831ACD"/>
    <w:rsid w:val="008369DF"/>
    <w:rsid w:val="00836F50"/>
    <w:rsid w:val="008416AE"/>
    <w:rsid w:val="00841BDF"/>
    <w:rsid w:val="00844A92"/>
    <w:rsid w:val="00845CF8"/>
    <w:rsid w:val="00860179"/>
    <w:rsid w:val="00860962"/>
    <w:rsid w:val="00861FDC"/>
    <w:rsid w:val="0086228F"/>
    <w:rsid w:val="008654BA"/>
    <w:rsid w:val="00866B00"/>
    <w:rsid w:val="00874CD3"/>
    <w:rsid w:val="00874F7F"/>
    <w:rsid w:val="0087535C"/>
    <w:rsid w:val="008762F5"/>
    <w:rsid w:val="0088077A"/>
    <w:rsid w:val="0088171D"/>
    <w:rsid w:val="00882A70"/>
    <w:rsid w:val="0088330D"/>
    <w:rsid w:val="00884A85"/>
    <w:rsid w:val="00887441"/>
    <w:rsid w:val="00890C00"/>
    <w:rsid w:val="008921A6"/>
    <w:rsid w:val="00892EBA"/>
    <w:rsid w:val="00896D5C"/>
    <w:rsid w:val="008A30EE"/>
    <w:rsid w:val="008B4DEC"/>
    <w:rsid w:val="008B7C7D"/>
    <w:rsid w:val="008C03E3"/>
    <w:rsid w:val="008C7727"/>
    <w:rsid w:val="008C7F73"/>
    <w:rsid w:val="008D1552"/>
    <w:rsid w:val="008D6A8B"/>
    <w:rsid w:val="008D7411"/>
    <w:rsid w:val="008E0AE8"/>
    <w:rsid w:val="008E0BB0"/>
    <w:rsid w:val="008E1257"/>
    <w:rsid w:val="008E1932"/>
    <w:rsid w:val="008E4614"/>
    <w:rsid w:val="008E6DEA"/>
    <w:rsid w:val="008E753E"/>
    <w:rsid w:val="008F0A8E"/>
    <w:rsid w:val="008F16BB"/>
    <w:rsid w:val="008F1D08"/>
    <w:rsid w:val="008F4A2D"/>
    <w:rsid w:val="008F4D7F"/>
    <w:rsid w:val="008F5BB5"/>
    <w:rsid w:val="00902BA0"/>
    <w:rsid w:val="00905381"/>
    <w:rsid w:val="00905D1B"/>
    <w:rsid w:val="00910A56"/>
    <w:rsid w:val="00912B8A"/>
    <w:rsid w:val="00914BBF"/>
    <w:rsid w:val="00915C88"/>
    <w:rsid w:val="009204C0"/>
    <w:rsid w:val="00920F0F"/>
    <w:rsid w:val="0092178F"/>
    <w:rsid w:val="0092755E"/>
    <w:rsid w:val="00927B1F"/>
    <w:rsid w:val="00935A37"/>
    <w:rsid w:val="009367A8"/>
    <w:rsid w:val="00936AFB"/>
    <w:rsid w:val="00937984"/>
    <w:rsid w:val="00940306"/>
    <w:rsid w:val="0094052A"/>
    <w:rsid w:val="0094245A"/>
    <w:rsid w:val="009429F6"/>
    <w:rsid w:val="00946CF5"/>
    <w:rsid w:val="00953106"/>
    <w:rsid w:val="009557A0"/>
    <w:rsid w:val="00955B19"/>
    <w:rsid w:val="00955FC9"/>
    <w:rsid w:val="0095610D"/>
    <w:rsid w:val="00956F81"/>
    <w:rsid w:val="00957A9E"/>
    <w:rsid w:val="009601BB"/>
    <w:rsid w:val="00960583"/>
    <w:rsid w:val="009605EC"/>
    <w:rsid w:val="009606DD"/>
    <w:rsid w:val="00960859"/>
    <w:rsid w:val="00971350"/>
    <w:rsid w:val="00976F6F"/>
    <w:rsid w:val="00980A9E"/>
    <w:rsid w:val="00981E16"/>
    <w:rsid w:val="009824F0"/>
    <w:rsid w:val="00983319"/>
    <w:rsid w:val="00985853"/>
    <w:rsid w:val="0099448C"/>
    <w:rsid w:val="0099700B"/>
    <w:rsid w:val="009A0254"/>
    <w:rsid w:val="009A4886"/>
    <w:rsid w:val="009A776A"/>
    <w:rsid w:val="009B1E96"/>
    <w:rsid w:val="009B5A33"/>
    <w:rsid w:val="009B5D6C"/>
    <w:rsid w:val="009C117D"/>
    <w:rsid w:val="009C237F"/>
    <w:rsid w:val="009C70B4"/>
    <w:rsid w:val="009C7235"/>
    <w:rsid w:val="009C7D13"/>
    <w:rsid w:val="009D0455"/>
    <w:rsid w:val="009D17B3"/>
    <w:rsid w:val="009D2780"/>
    <w:rsid w:val="009D6645"/>
    <w:rsid w:val="009D6722"/>
    <w:rsid w:val="009D6B38"/>
    <w:rsid w:val="009E132A"/>
    <w:rsid w:val="009E15EA"/>
    <w:rsid w:val="009E384B"/>
    <w:rsid w:val="009E4006"/>
    <w:rsid w:val="009F0DE6"/>
    <w:rsid w:val="009F334D"/>
    <w:rsid w:val="00A0291A"/>
    <w:rsid w:val="00A02EA6"/>
    <w:rsid w:val="00A0323B"/>
    <w:rsid w:val="00A03C98"/>
    <w:rsid w:val="00A05DD2"/>
    <w:rsid w:val="00A05FCF"/>
    <w:rsid w:val="00A064B5"/>
    <w:rsid w:val="00A068C6"/>
    <w:rsid w:val="00A06ECC"/>
    <w:rsid w:val="00A10B8C"/>
    <w:rsid w:val="00A12698"/>
    <w:rsid w:val="00A15762"/>
    <w:rsid w:val="00A16024"/>
    <w:rsid w:val="00A22765"/>
    <w:rsid w:val="00A22F03"/>
    <w:rsid w:val="00A23CA0"/>
    <w:rsid w:val="00A23F3B"/>
    <w:rsid w:val="00A24283"/>
    <w:rsid w:val="00A2482C"/>
    <w:rsid w:val="00A259AA"/>
    <w:rsid w:val="00A27310"/>
    <w:rsid w:val="00A301C9"/>
    <w:rsid w:val="00A3040E"/>
    <w:rsid w:val="00A3128C"/>
    <w:rsid w:val="00A31B47"/>
    <w:rsid w:val="00A325FC"/>
    <w:rsid w:val="00A33CBE"/>
    <w:rsid w:val="00A34D3D"/>
    <w:rsid w:val="00A3502A"/>
    <w:rsid w:val="00A3609D"/>
    <w:rsid w:val="00A36E15"/>
    <w:rsid w:val="00A36F06"/>
    <w:rsid w:val="00A401A2"/>
    <w:rsid w:val="00A425C3"/>
    <w:rsid w:val="00A45011"/>
    <w:rsid w:val="00A46760"/>
    <w:rsid w:val="00A51F72"/>
    <w:rsid w:val="00A527D2"/>
    <w:rsid w:val="00A52DD0"/>
    <w:rsid w:val="00A53541"/>
    <w:rsid w:val="00A53BC0"/>
    <w:rsid w:val="00A640FA"/>
    <w:rsid w:val="00A655D9"/>
    <w:rsid w:val="00A65724"/>
    <w:rsid w:val="00A7097F"/>
    <w:rsid w:val="00A70E11"/>
    <w:rsid w:val="00A72DFA"/>
    <w:rsid w:val="00A72F7A"/>
    <w:rsid w:val="00A73D0C"/>
    <w:rsid w:val="00A7662A"/>
    <w:rsid w:val="00A76A58"/>
    <w:rsid w:val="00A76DB0"/>
    <w:rsid w:val="00A80C7C"/>
    <w:rsid w:val="00A82300"/>
    <w:rsid w:val="00A83DF5"/>
    <w:rsid w:val="00A85512"/>
    <w:rsid w:val="00A967BD"/>
    <w:rsid w:val="00AA25AC"/>
    <w:rsid w:val="00AA2EB1"/>
    <w:rsid w:val="00AA4294"/>
    <w:rsid w:val="00AA5196"/>
    <w:rsid w:val="00AB0C4F"/>
    <w:rsid w:val="00AB1AFA"/>
    <w:rsid w:val="00AB2B7A"/>
    <w:rsid w:val="00AC0496"/>
    <w:rsid w:val="00AC054B"/>
    <w:rsid w:val="00AC20C1"/>
    <w:rsid w:val="00AD2E5D"/>
    <w:rsid w:val="00AD53DD"/>
    <w:rsid w:val="00AD5730"/>
    <w:rsid w:val="00AD57AC"/>
    <w:rsid w:val="00AE09AA"/>
    <w:rsid w:val="00AE2390"/>
    <w:rsid w:val="00AE3D77"/>
    <w:rsid w:val="00AE7D49"/>
    <w:rsid w:val="00AF19D9"/>
    <w:rsid w:val="00AF1CB0"/>
    <w:rsid w:val="00AF4659"/>
    <w:rsid w:val="00AF4B4F"/>
    <w:rsid w:val="00AF56C1"/>
    <w:rsid w:val="00AF6983"/>
    <w:rsid w:val="00AF6E43"/>
    <w:rsid w:val="00B02ED3"/>
    <w:rsid w:val="00B0563D"/>
    <w:rsid w:val="00B06DD9"/>
    <w:rsid w:val="00B11723"/>
    <w:rsid w:val="00B139D6"/>
    <w:rsid w:val="00B14976"/>
    <w:rsid w:val="00B224B9"/>
    <w:rsid w:val="00B2259B"/>
    <w:rsid w:val="00B22B30"/>
    <w:rsid w:val="00B251DF"/>
    <w:rsid w:val="00B25724"/>
    <w:rsid w:val="00B26EC5"/>
    <w:rsid w:val="00B33310"/>
    <w:rsid w:val="00B33680"/>
    <w:rsid w:val="00B33E87"/>
    <w:rsid w:val="00B352DC"/>
    <w:rsid w:val="00B410C1"/>
    <w:rsid w:val="00B43B4F"/>
    <w:rsid w:val="00B50BBE"/>
    <w:rsid w:val="00B579C1"/>
    <w:rsid w:val="00B604F3"/>
    <w:rsid w:val="00B6200C"/>
    <w:rsid w:val="00B63CDC"/>
    <w:rsid w:val="00B661FD"/>
    <w:rsid w:val="00B66E6C"/>
    <w:rsid w:val="00B6776C"/>
    <w:rsid w:val="00B74C67"/>
    <w:rsid w:val="00B763C9"/>
    <w:rsid w:val="00B846C1"/>
    <w:rsid w:val="00B86444"/>
    <w:rsid w:val="00B9054C"/>
    <w:rsid w:val="00B922C6"/>
    <w:rsid w:val="00B92395"/>
    <w:rsid w:val="00B94CEE"/>
    <w:rsid w:val="00B954D9"/>
    <w:rsid w:val="00B9657B"/>
    <w:rsid w:val="00B96708"/>
    <w:rsid w:val="00B96DB3"/>
    <w:rsid w:val="00B976CF"/>
    <w:rsid w:val="00BA0030"/>
    <w:rsid w:val="00BA0A6F"/>
    <w:rsid w:val="00BA2D31"/>
    <w:rsid w:val="00BA4B0E"/>
    <w:rsid w:val="00BA58D4"/>
    <w:rsid w:val="00BA5D9D"/>
    <w:rsid w:val="00BA7E47"/>
    <w:rsid w:val="00BB05F8"/>
    <w:rsid w:val="00BB3A09"/>
    <w:rsid w:val="00BB5FFF"/>
    <w:rsid w:val="00BB76CD"/>
    <w:rsid w:val="00BC05C2"/>
    <w:rsid w:val="00BC0A41"/>
    <w:rsid w:val="00BC15D7"/>
    <w:rsid w:val="00BC16D5"/>
    <w:rsid w:val="00BC4180"/>
    <w:rsid w:val="00BC6968"/>
    <w:rsid w:val="00BD03DA"/>
    <w:rsid w:val="00BD271C"/>
    <w:rsid w:val="00BD6427"/>
    <w:rsid w:val="00BD6B0F"/>
    <w:rsid w:val="00BE11F3"/>
    <w:rsid w:val="00BE3E3F"/>
    <w:rsid w:val="00BF39F6"/>
    <w:rsid w:val="00BF6E19"/>
    <w:rsid w:val="00BF717D"/>
    <w:rsid w:val="00C02199"/>
    <w:rsid w:val="00C02A72"/>
    <w:rsid w:val="00C03100"/>
    <w:rsid w:val="00C03F64"/>
    <w:rsid w:val="00C068FE"/>
    <w:rsid w:val="00C138B8"/>
    <w:rsid w:val="00C14D4F"/>
    <w:rsid w:val="00C16B88"/>
    <w:rsid w:val="00C17D15"/>
    <w:rsid w:val="00C227C4"/>
    <w:rsid w:val="00C23A77"/>
    <w:rsid w:val="00C24B2B"/>
    <w:rsid w:val="00C250C7"/>
    <w:rsid w:val="00C258B9"/>
    <w:rsid w:val="00C26990"/>
    <w:rsid w:val="00C326FA"/>
    <w:rsid w:val="00C366D0"/>
    <w:rsid w:val="00C4122A"/>
    <w:rsid w:val="00C456A8"/>
    <w:rsid w:val="00C508FB"/>
    <w:rsid w:val="00C53222"/>
    <w:rsid w:val="00C54880"/>
    <w:rsid w:val="00C54B30"/>
    <w:rsid w:val="00C6139A"/>
    <w:rsid w:val="00C64992"/>
    <w:rsid w:val="00C65589"/>
    <w:rsid w:val="00C740AD"/>
    <w:rsid w:val="00C76FAE"/>
    <w:rsid w:val="00C811E3"/>
    <w:rsid w:val="00C8268A"/>
    <w:rsid w:val="00C826EE"/>
    <w:rsid w:val="00C82EE0"/>
    <w:rsid w:val="00C85107"/>
    <w:rsid w:val="00C86850"/>
    <w:rsid w:val="00C9142B"/>
    <w:rsid w:val="00C95B1A"/>
    <w:rsid w:val="00C97D71"/>
    <w:rsid w:val="00CA3130"/>
    <w:rsid w:val="00CA4E6A"/>
    <w:rsid w:val="00CA536B"/>
    <w:rsid w:val="00CA6B24"/>
    <w:rsid w:val="00CB22B3"/>
    <w:rsid w:val="00CB4E1A"/>
    <w:rsid w:val="00CB76CA"/>
    <w:rsid w:val="00CC2A7F"/>
    <w:rsid w:val="00CC6414"/>
    <w:rsid w:val="00CD2055"/>
    <w:rsid w:val="00CD29EF"/>
    <w:rsid w:val="00CD3AD7"/>
    <w:rsid w:val="00CD4558"/>
    <w:rsid w:val="00CE0884"/>
    <w:rsid w:val="00CE0CCB"/>
    <w:rsid w:val="00CE1E91"/>
    <w:rsid w:val="00CE1EE3"/>
    <w:rsid w:val="00CE2ED7"/>
    <w:rsid w:val="00CE355F"/>
    <w:rsid w:val="00CE3EA7"/>
    <w:rsid w:val="00CE7306"/>
    <w:rsid w:val="00CF06E6"/>
    <w:rsid w:val="00CF0A19"/>
    <w:rsid w:val="00CF0C8D"/>
    <w:rsid w:val="00CF435E"/>
    <w:rsid w:val="00CF6077"/>
    <w:rsid w:val="00CF7D88"/>
    <w:rsid w:val="00CF7E00"/>
    <w:rsid w:val="00D0086E"/>
    <w:rsid w:val="00D015A6"/>
    <w:rsid w:val="00D016D7"/>
    <w:rsid w:val="00D0197D"/>
    <w:rsid w:val="00D02996"/>
    <w:rsid w:val="00D03D2E"/>
    <w:rsid w:val="00D06C6D"/>
    <w:rsid w:val="00D070D8"/>
    <w:rsid w:val="00D11EB5"/>
    <w:rsid w:val="00D12412"/>
    <w:rsid w:val="00D12FFD"/>
    <w:rsid w:val="00D161CA"/>
    <w:rsid w:val="00D16C13"/>
    <w:rsid w:val="00D17E8E"/>
    <w:rsid w:val="00D2134C"/>
    <w:rsid w:val="00D21928"/>
    <w:rsid w:val="00D229FB"/>
    <w:rsid w:val="00D2652D"/>
    <w:rsid w:val="00D30EC0"/>
    <w:rsid w:val="00D3445F"/>
    <w:rsid w:val="00D34ABF"/>
    <w:rsid w:val="00D42DFB"/>
    <w:rsid w:val="00D44D52"/>
    <w:rsid w:val="00D45DA4"/>
    <w:rsid w:val="00D5177B"/>
    <w:rsid w:val="00D53768"/>
    <w:rsid w:val="00D55B4B"/>
    <w:rsid w:val="00D57EEA"/>
    <w:rsid w:val="00D61DB6"/>
    <w:rsid w:val="00D62A3E"/>
    <w:rsid w:val="00D64250"/>
    <w:rsid w:val="00D65823"/>
    <w:rsid w:val="00D67C2B"/>
    <w:rsid w:val="00D71661"/>
    <w:rsid w:val="00D733AF"/>
    <w:rsid w:val="00D75454"/>
    <w:rsid w:val="00D7585A"/>
    <w:rsid w:val="00D77A04"/>
    <w:rsid w:val="00D81E72"/>
    <w:rsid w:val="00D847BE"/>
    <w:rsid w:val="00D84F75"/>
    <w:rsid w:val="00D85E30"/>
    <w:rsid w:val="00D9140D"/>
    <w:rsid w:val="00D9784D"/>
    <w:rsid w:val="00DA1303"/>
    <w:rsid w:val="00DA1547"/>
    <w:rsid w:val="00DA20FC"/>
    <w:rsid w:val="00DA2A7D"/>
    <w:rsid w:val="00DA3FFF"/>
    <w:rsid w:val="00DB16DB"/>
    <w:rsid w:val="00DB331C"/>
    <w:rsid w:val="00DB40AB"/>
    <w:rsid w:val="00DB5ABA"/>
    <w:rsid w:val="00DB5FE4"/>
    <w:rsid w:val="00DB63CA"/>
    <w:rsid w:val="00DB6CF9"/>
    <w:rsid w:val="00DC15B1"/>
    <w:rsid w:val="00DC3CD1"/>
    <w:rsid w:val="00DC4236"/>
    <w:rsid w:val="00DC66BF"/>
    <w:rsid w:val="00DC7B82"/>
    <w:rsid w:val="00DD2C8D"/>
    <w:rsid w:val="00DD6F58"/>
    <w:rsid w:val="00DE014E"/>
    <w:rsid w:val="00DE14E9"/>
    <w:rsid w:val="00DE15A7"/>
    <w:rsid w:val="00DE2494"/>
    <w:rsid w:val="00DE24D6"/>
    <w:rsid w:val="00DE75BB"/>
    <w:rsid w:val="00DF048D"/>
    <w:rsid w:val="00DF3801"/>
    <w:rsid w:val="00DF3A50"/>
    <w:rsid w:val="00DF62F2"/>
    <w:rsid w:val="00E01FCD"/>
    <w:rsid w:val="00E03C2B"/>
    <w:rsid w:val="00E068A5"/>
    <w:rsid w:val="00E07389"/>
    <w:rsid w:val="00E116F7"/>
    <w:rsid w:val="00E135E9"/>
    <w:rsid w:val="00E140DF"/>
    <w:rsid w:val="00E16295"/>
    <w:rsid w:val="00E203AF"/>
    <w:rsid w:val="00E2178A"/>
    <w:rsid w:val="00E23804"/>
    <w:rsid w:val="00E2422C"/>
    <w:rsid w:val="00E26B80"/>
    <w:rsid w:val="00E2713B"/>
    <w:rsid w:val="00E304D2"/>
    <w:rsid w:val="00E339FE"/>
    <w:rsid w:val="00E401D0"/>
    <w:rsid w:val="00E41637"/>
    <w:rsid w:val="00E41FCB"/>
    <w:rsid w:val="00E435CA"/>
    <w:rsid w:val="00E456DC"/>
    <w:rsid w:val="00E462A2"/>
    <w:rsid w:val="00E4782F"/>
    <w:rsid w:val="00E54912"/>
    <w:rsid w:val="00E57825"/>
    <w:rsid w:val="00E60BC5"/>
    <w:rsid w:val="00E64CAD"/>
    <w:rsid w:val="00E72ED8"/>
    <w:rsid w:val="00E73CC0"/>
    <w:rsid w:val="00E748DA"/>
    <w:rsid w:val="00E74C28"/>
    <w:rsid w:val="00E81466"/>
    <w:rsid w:val="00E83225"/>
    <w:rsid w:val="00E920C4"/>
    <w:rsid w:val="00E93C74"/>
    <w:rsid w:val="00E943B2"/>
    <w:rsid w:val="00E95445"/>
    <w:rsid w:val="00EA000D"/>
    <w:rsid w:val="00EB1125"/>
    <w:rsid w:val="00EB11BD"/>
    <w:rsid w:val="00EB3944"/>
    <w:rsid w:val="00EB57E3"/>
    <w:rsid w:val="00EC11E2"/>
    <w:rsid w:val="00EC3745"/>
    <w:rsid w:val="00ED035A"/>
    <w:rsid w:val="00ED3A85"/>
    <w:rsid w:val="00ED6DA8"/>
    <w:rsid w:val="00EE03EC"/>
    <w:rsid w:val="00EE7688"/>
    <w:rsid w:val="00EF53CE"/>
    <w:rsid w:val="00EF5AF6"/>
    <w:rsid w:val="00EF7575"/>
    <w:rsid w:val="00F003AB"/>
    <w:rsid w:val="00F005FE"/>
    <w:rsid w:val="00F0092B"/>
    <w:rsid w:val="00F00AB6"/>
    <w:rsid w:val="00F013C7"/>
    <w:rsid w:val="00F0166A"/>
    <w:rsid w:val="00F0282F"/>
    <w:rsid w:val="00F059C7"/>
    <w:rsid w:val="00F06B7E"/>
    <w:rsid w:val="00F11FD9"/>
    <w:rsid w:val="00F15423"/>
    <w:rsid w:val="00F158C5"/>
    <w:rsid w:val="00F15DBE"/>
    <w:rsid w:val="00F17132"/>
    <w:rsid w:val="00F21554"/>
    <w:rsid w:val="00F25804"/>
    <w:rsid w:val="00F263F7"/>
    <w:rsid w:val="00F2698F"/>
    <w:rsid w:val="00F26C0A"/>
    <w:rsid w:val="00F34D89"/>
    <w:rsid w:val="00F34F59"/>
    <w:rsid w:val="00F37A06"/>
    <w:rsid w:val="00F42BBC"/>
    <w:rsid w:val="00F45C8E"/>
    <w:rsid w:val="00F47321"/>
    <w:rsid w:val="00F50380"/>
    <w:rsid w:val="00F602A1"/>
    <w:rsid w:val="00F60DFB"/>
    <w:rsid w:val="00F611C2"/>
    <w:rsid w:val="00F65D28"/>
    <w:rsid w:val="00F6650E"/>
    <w:rsid w:val="00F66C06"/>
    <w:rsid w:val="00F71547"/>
    <w:rsid w:val="00F72708"/>
    <w:rsid w:val="00F729AF"/>
    <w:rsid w:val="00F72E81"/>
    <w:rsid w:val="00F75A80"/>
    <w:rsid w:val="00F760A8"/>
    <w:rsid w:val="00F76C60"/>
    <w:rsid w:val="00F76EB9"/>
    <w:rsid w:val="00F86160"/>
    <w:rsid w:val="00F86ADF"/>
    <w:rsid w:val="00F90FBB"/>
    <w:rsid w:val="00F9235E"/>
    <w:rsid w:val="00F9250D"/>
    <w:rsid w:val="00F92F26"/>
    <w:rsid w:val="00F93D0E"/>
    <w:rsid w:val="00F93D5C"/>
    <w:rsid w:val="00F95A49"/>
    <w:rsid w:val="00FA052C"/>
    <w:rsid w:val="00FA1502"/>
    <w:rsid w:val="00FA22C9"/>
    <w:rsid w:val="00FA28A6"/>
    <w:rsid w:val="00FA6647"/>
    <w:rsid w:val="00FA69FA"/>
    <w:rsid w:val="00FB0AAB"/>
    <w:rsid w:val="00FB0B7A"/>
    <w:rsid w:val="00FB140D"/>
    <w:rsid w:val="00FB1E66"/>
    <w:rsid w:val="00FB3D92"/>
    <w:rsid w:val="00FB4049"/>
    <w:rsid w:val="00FB69F5"/>
    <w:rsid w:val="00FC164B"/>
    <w:rsid w:val="00FC207B"/>
    <w:rsid w:val="00FC6F14"/>
    <w:rsid w:val="00FD01C0"/>
    <w:rsid w:val="00FD2EB2"/>
    <w:rsid w:val="00FD44AB"/>
    <w:rsid w:val="00FD49B4"/>
    <w:rsid w:val="00FE378B"/>
    <w:rsid w:val="00FE4709"/>
    <w:rsid w:val="00FE74CB"/>
    <w:rsid w:val="00FF5796"/>
    <w:rsid w:val="0209F8BF"/>
    <w:rsid w:val="04A93353"/>
    <w:rsid w:val="04F8B4B7"/>
    <w:rsid w:val="09F3700F"/>
    <w:rsid w:val="0C723C5A"/>
    <w:rsid w:val="0C7BBC98"/>
    <w:rsid w:val="0CA8800B"/>
    <w:rsid w:val="0CABE9C2"/>
    <w:rsid w:val="0CE7A53F"/>
    <w:rsid w:val="0EBF594E"/>
    <w:rsid w:val="10DD21CD"/>
    <w:rsid w:val="1157A376"/>
    <w:rsid w:val="115C771B"/>
    <w:rsid w:val="1608F2D0"/>
    <w:rsid w:val="1791DEDE"/>
    <w:rsid w:val="17EB1BE1"/>
    <w:rsid w:val="18A61BBE"/>
    <w:rsid w:val="19159F10"/>
    <w:rsid w:val="19CAD32F"/>
    <w:rsid w:val="1AD08789"/>
    <w:rsid w:val="1B29F33B"/>
    <w:rsid w:val="1B81B23A"/>
    <w:rsid w:val="1BC417AB"/>
    <w:rsid w:val="1F4A18FC"/>
    <w:rsid w:val="2043B045"/>
    <w:rsid w:val="208A7144"/>
    <w:rsid w:val="224F263A"/>
    <w:rsid w:val="23D89AFD"/>
    <w:rsid w:val="269A1DF5"/>
    <w:rsid w:val="28268EA8"/>
    <w:rsid w:val="2B679B0C"/>
    <w:rsid w:val="2CD848D3"/>
    <w:rsid w:val="2CF09188"/>
    <w:rsid w:val="2D3A5894"/>
    <w:rsid w:val="2DAF6A52"/>
    <w:rsid w:val="311686E2"/>
    <w:rsid w:val="312A1E45"/>
    <w:rsid w:val="32E4C3FF"/>
    <w:rsid w:val="3316CE2F"/>
    <w:rsid w:val="36C17C6A"/>
    <w:rsid w:val="36F46E39"/>
    <w:rsid w:val="3773A1FB"/>
    <w:rsid w:val="386AC8FC"/>
    <w:rsid w:val="3911BD62"/>
    <w:rsid w:val="399F684E"/>
    <w:rsid w:val="39D24735"/>
    <w:rsid w:val="3A2C0EFB"/>
    <w:rsid w:val="3B768724"/>
    <w:rsid w:val="3C544011"/>
    <w:rsid w:val="3CABA6B2"/>
    <w:rsid w:val="3CD1D9DE"/>
    <w:rsid w:val="3CE02C18"/>
    <w:rsid w:val="3D3E74A4"/>
    <w:rsid w:val="3E73A07B"/>
    <w:rsid w:val="3EE32EAA"/>
    <w:rsid w:val="3F53C15A"/>
    <w:rsid w:val="3F7DB7C1"/>
    <w:rsid w:val="3FDEDE28"/>
    <w:rsid w:val="4053CAE3"/>
    <w:rsid w:val="4128ADFA"/>
    <w:rsid w:val="41DEC07E"/>
    <w:rsid w:val="44640A10"/>
    <w:rsid w:val="4890BBD8"/>
    <w:rsid w:val="4927669D"/>
    <w:rsid w:val="4A38F5BE"/>
    <w:rsid w:val="4D81C10D"/>
    <w:rsid w:val="4E0AB03C"/>
    <w:rsid w:val="4F7F60A6"/>
    <w:rsid w:val="4FCB2457"/>
    <w:rsid w:val="501AAA61"/>
    <w:rsid w:val="502CBB22"/>
    <w:rsid w:val="510D3420"/>
    <w:rsid w:val="55916BEC"/>
    <w:rsid w:val="57C37C4E"/>
    <w:rsid w:val="59D45AD2"/>
    <w:rsid w:val="5B32D8CE"/>
    <w:rsid w:val="5B97FF48"/>
    <w:rsid w:val="5C670C45"/>
    <w:rsid w:val="5D82D1B6"/>
    <w:rsid w:val="5E85794F"/>
    <w:rsid w:val="607D1207"/>
    <w:rsid w:val="636E75C6"/>
    <w:rsid w:val="65891E90"/>
    <w:rsid w:val="668EFC9D"/>
    <w:rsid w:val="669C46C5"/>
    <w:rsid w:val="68C4FB7F"/>
    <w:rsid w:val="696E6AAE"/>
    <w:rsid w:val="6A38373A"/>
    <w:rsid w:val="6B44AF73"/>
    <w:rsid w:val="6C6C6682"/>
    <w:rsid w:val="6D7EE010"/>
    <w:rsid w:val="6D8B0BC5"/>
    <w:rsid w:val="6E5E1882"/>
    <w:rsid w:val="6ED7C7A8"/>
    <w:rsid w:val="6F1AB071"/>
    <w:rsid w:val="6FC293BD"/>
    <w:rsid w:val="76E4C44F"/>
    <w:rsid w:val="79D203AD"/>
    <w:rsid w:val="7B52B930"/>
    <w:rsid w:val="7D1885A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D7E6"/>
  <w15:chartTrackingRefBased/>
  <w15:docId w15:val="{DFE40E46-2081-43A5-8968-CEB12364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FF"/>
  </w:style>
  <w:style w:type="paragraph" w:styleId="Heading1">
    <w:name w:val="heading 1"/>
    <w:basedOn w:val="Normal"/>
    <w:next w:val="Normal"/>
    <w:link w:val="Heading1Char"/>
    <w:uiPriority w:val="9"/>
    <w:qFormat/>
    <w:rsid w:val="00633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33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2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332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99"/>
    <w:qFormat/>
    <w:rsid w:val="0063322A"/>
    <w:pPr>
      <w:ind w:left="720"/>
      <w:contextualSpacing/>
    </w:pPr>
  </w:style>
  <w:style w:type="character" w:customStyle="1" w:styleId="Heading2Char">
    <w:name w:val="Heading 2 Char"/>
    <w:basedOn w:val="DefaultParagraphFont"/>
    <w:link w:val="Heading2"/>
    <w:uiPriority w:val="9"/>
    <w:rsid w:val="003E24F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rsid w:val="00696486"/>
    <w:rPr>
      <w:rFonts w:cs="Times New Roman"/>
      <w:sz w:val="16"/>
      <w:szCs w:val="16"/>
    </w:rPr>
  </w:style>
  <w:style w:type="paragraph" w:styleId="CommentText">
    <w:name w:val="annotation text"/>
    <w:basedOn w:val="Normal"/>
    <w:link w:val="CommentTextChar"/>
    <w:uiPriority w:val="99"/>
    <w:semiHidden/>
    <w:rsid w:val="00696486"/>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9648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86A60"/>
    <w:pPr>
      <w:spacing w:after="160"/>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086A60"/>
    <w:rPr>
      <w:rFonts w:ascii="Calibri" w:eastAsia="Calibri" w:hAnsi="Calibri" w:cs="Times New Roman"/>
      <w:b/>
      <w:bCs/>
      <w:sz w:val="20"/>
      <w:szCs w:val="20"/>
      <w:lang w:val="en-US"/>
    </w:rPr>
  </w:style>
  <w:style w:type="paragraph" w:styleId="Revision">
    <w:name w:val="Revision"/>
    <w:hidden/>
    <w:uiPriority w:val="99"/>
    <w:semiHidden/>
    <w:rsid w:val="00A2482C"/>
    <w:pPr>
      <w:spacing w:after="0" w:line="240" w:lineRule="auto"/>
    </w:pPr>
  </w:style>
  <w:style w:type="character" w:customStyle="1" w:styleId="ListParagraphChar">
    <w:name w:val="List Paragraph Char"/>
    <w:link w:val="ListParagraph"/>
    <w:uiPriority w:val="99"/>
    <w:locked/>
    <w:rsid w:val="00A640FA"/>
  </w:style>
  <w:style w:type="character" w:styleId="Hyperlink">
    <w:name w:val="Hyperlink"/>
    <w:basedOn w:val="DefaultParagraphFont"/>
    <w:uiPriority w:val="99"/>
    <w:unhideWhenUsed/>
    <w:rsid w:val="00946CF5"/>
    <w:rPr>
      <w:color w:val="0000FF"/>
      <w:u w:val="single"/>
    </w:rPr>
  </w:style>
  <w:style w:type="paragraph" w:styleId="FootnoteText">
    <w:name w:val="footnote text"/>
    <w:basedOn w:val="Normal"/>
    <w:link w:val="FootnoteTextChar"/>
    <w:uiPriority w:val="99"/>
    <w:semiHidden/>
    <w:unhideWhenUsed/>
    <w:rsid w:val="00F66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C06"/>
    <w:rPr>
      <w:sz w:val="20"/>
      <w:szCs w:val="20"/>
    </w:rPr>
  </w:style>
  <w:style w:type="character" w:styleId="FootnoteReference">
    <w:name w:val="footnote reference"/>
    <w:basedOn w:val="DefaultParagraphFont"/>
    <w:uiPriority w:val="99"/>
    <w:semiHidden/>
    <w:unhideWhenUsed/>
    <w:rsid w:val="00F66C06"/>
    <w:rPr>
      <w:vertAlign w:val="superscript"/>
    </w:rPr>
  </w:style>
  <w:style w:type="paragraph" w:styleId="Header">
    <w:name w:val="header"/>
    <w:basedOn w:val="Normal"/>
    <w:link w:val="HeaderChar"/>
    <w:uiPriority w:val="99"/>
    <w:unhideWhenUsed/>
    <w:rsid w:val="006F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F60"/>
  </w:style>
  <w:style w:type="paragraph" w:styleId="Footer">
    <w:name w:val="footer"/>
    <w:basedOn w:val="Normal"/>
    <w:link w:val="FooterChar"/>
    <w:uiPriority w:val="99"/>
    <w:unhideWhenUsed/>
    <w:rsid w:val="006F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60"/>
  </w:style>
  <w:style w:type="paragraph" w:styleId="BalloonText">
    <w:name w:val="Balloon Text"/>
    <w:basedOn w:val="Normal"/>
    <w:link w:val="BalloonTextChar"/>
    <w:uiPriority w:val="99"/>
    <w:semiHidden/>
    <w:unhideWhenUsed/>
    <w:rsid w:val="00E45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406E3F"/>
    <w:rPr>
      <w:color w:val="605E5C"/>
      <w:shd w:val="clear" w:color="auto" w:fill="E1DFDD"/>
    </w:rPr>
  </w:style>
  <w:style w:type="character" w:customStyle="1" w:styleId="cf01">
    <w:name w:val="cf01"/>
    <w:basedOn w:val="DefaultParagraphFont"/>
    <w:rsid w:val="00BC15D7"/>
    <w:rPr>
      <w:rFonts w:ascii="Segoe UI" w:hAnsi="Segoe UI" w:cs="Segoe UI" w:hint="default"/>
      <w:sz w:val="18"/>
      <w:szCs w:val="18"/>
    </w:rPr>
  </w:style>
  <w:style w:type="paragraph" w:customStyle="1" w:styleId="pf0">
    <w:name w:val="pf0"/>
    <w:basedOn w:val="Normal"/>
    <w:rsid w:val="00FD49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C53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797">
      <w:bodyDiv w:val="1"/>
      <w:marLeft w:val="0"/>
      <w:marRight w:val="0"/>
      <w:marTop w:val="0"/>
      <w:marBottom w:val="0"/>
      <w:divBdr>
        <w:top w:val="none" w:sz="0" w:space="0" w:color="auto"/>
        <w:left w:val="none" w:sz="0" w:space="0" w:color="auto"/>
        <w:bottom w:val="none" w:sz="0" w:space="0" w:color="auto"/>
        <w:right w:val="none" w:sz="0" w:space="0" w:color="auto"/>
      </w:divBdr>
    </w:div>
    <w:div w:id="763068016">
      <w:bodyDiv w:val="1"/>
      <w:marLeft w:val="0"/>
      <w:marRight w:val="0"/>
      <w:marTop w:val="0"/>
      <w:marBottom w:val="0"/>
      <w:divBdr>
        <w:top w:val="none" w:sz="0" w:space="0" w:color="auto"/>
        <w:left w:val="none" w:sz="0" w:space="0" w:color="auto"/>
        <w:bottom w:val="none" w:sz="0" w:space="0" w:color="auto"/>
        <w:right w:val="none" w:sz="0" w:space="0" w:color="auto"/>
      </w:divBdr>
    </w:div>
    <w:div w:id="837617398">
      <w:bodyDiv w:val="1"/>
      <w:marLeft w:val="0"/>
      <w:marRight w:val="0"/>
      <w:marTop w:val="0"/>
      <w:marBottom w:val="0"/>
      <w:divBdr>
        <w:top w:val="none" w:sz="0" w:space="0" w:color="auto"/>
        <w:left w:val="none" w:sz="0" w:space="0" w:color="auto"/>
        <w:bottom w:val="none" w:sz="0" w:space="0" w:color="auto"/>
        <w:right w:val="none" w:sz="0" w:space="0" w:color="auto"/>
      </w:divBdr>
    </w:div>
    <w:div w:id="1610965839">
      <w:bodyDiv w:val="1"/>
      <w:marLeft w:val="0"/>
      <w:marRight w:val="0"/>
      <w:marTop w:val="0"/>
      <w:marBottom w:val="0"/>
      <w:divBdr>
        <w:top w:val="none" w:sz="0" w:space="0" w:color="auto"/>
        <w:left w:val="none" w:sz="0" w:space="0" w:color="auto"/>
        <w:bottom w:val="none" w:sz="0" w:space="0" w:color="auto"/>
        <w:right w:val="none" w:sz="0" w:space="0" w:color="auto"/>
      </w:divBdr>
    </w:div>
    <w:div w:id="1735618848">
      <w:bodyDiv w:val="1"/>
      <w:marLeft w:val="0"/>
      <w:marRight w:val="0"/>
      <w:marTop w:val="0"/>
      <w:marBottom w:val="0"/>
      <w:divBdr>
        <w:top w:val="none" w:sz="0" w:space="0" w:color="auto"/>
        <w:left w:val="none" w:sz="0" w:space="0" w:color="auto"/>
        <w:bottom w:val="none" w:sz="0" w:space="0" w:color="auto"/>
        <w:right w:val="none" w:sz="0" w:space="0" w:color="auto"/>
      </w:divBdr>
    </w:div>
    <w:div w:id="1856578633">
      <w:bodyDiv w:val="1"/>
      <w:marLeft w:val="0"/>
      <w:marRight w:val="0"/>
      <w:marTop w:val="0"/>
      <w:marBottom w:val="0"/>
      <w:divBdr>
        <w:top w:val="none" w:sz="0" w:space="0" w:color="auto"/>
        <w:left w:val="none" w:sz="0" w:space="0" w:color="auto"/>
        <w:bottom w:val="none" w:sz="0" w:space="0" w:color="auto"/>
        <w:right w:val="none" w:sz="0" w:space="0" w:color="auto"/>
      </w:divBdr>
    </w:div>
    <w:div w:id="19888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1071A75AEF844CAB8284DBDCF4B759" ma:contentTypeVersion="4" ma:contentTypeDescription="Crée un document." ma:contentTypeScope="" ma:versionID="103cce4a52287ac6d1bd5d898c398b6b">
  <xsd:schema xmlns:xsd="http://www.w3.org/2001/XMLSchema" xmlns:xs="http://www.w3.org/2001/XMLSchema" xmlns:p="http://schemas.microsoft.com/office/2006/metadata/properties" xmlns:ns3="a329c80e-85d1-497b-bfa1-1c819aeac96b" targetNamespace="http://schemas.microsoft.com/office/2006/metadata/properties" ma:root="true" ma:fieldsID="24a2f14b3d1a795c90348b8eb492ccec" ns3:_="">
    <xsd:import namespace="a329c80e-85d1-497b-bfa1-1c819aeac9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9c80e-85d1-497b-bfa1-1c819aeac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5D8A2-3C3B-46D1-AE6D-6F9AA6DF08FB}">
  <ds:schemaRefs>
    <ds:schemaRef ds:uri="http://schemas.microsoft.com/sharepoint/v3/contenttype/forms"/>
  </ds:schemaRefs>
</ds:datastoreItem>
</file>

<file path=customXml/itemProps2.xml><?xml version="1.0" encoding="utf-8"?>
<ds:datastoreItem xmlns:ds="http://schemas.openxmlformats.org/officeDocument/2006/customXml" ds:itemID="{37C1F183-1809-4226-AD6B-4C5814EA72AF}">
  <ds:schemaRefs>
    <ds:schemaRef ds:uri="http://schemas.openxmlformats.org/officeDocument/2006/bibliography"/>
  </ds:schemaRefs>
</ds:datastoreItem>
</file>

<file path=customXml/itemProps3.xml><?xml version="1.0" encoding="utf-8"?>
<ds:datastoreItem xmlns:ds="http://schemas.openxmlformats.org/officeDocument/2006/customXml" ds:itemID="{72F571AA-4D4A-4B6F-8A5B-FE5576A73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9280F-94CC-4D85-A7D9-869AA2C19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9c80e-85d1-497b-bfa1-1c819aeac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Perchet</dc:creator>
  <cp:keywords/>
  <dc:description/>
  <cp:lastModifiedBy>RR.Europe</cp:lastModifiedBy>
  <cp:revision>2</cp:revision>
  <dcterms:created xsi:type="dcterms:W3CDTF">2022-11-09T16:02:00Z</dcterms:created>
  <dcterms:modified xsi:type="dcterms:W3CDTF">2022-11-09T16:02:00Z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0x010100361071A75AEF844CAB8284DBDCF4B759</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2022-09-02T13:38:12Z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ccc08e07-c175-42aa-8783-b8f15247f697</vt:lpwstr>
  </property>
  <property fmtid="{D5CDD505-2E9C-101B-9397-08002B2CF9AE}" pid="10" name="MSIP_Label_6bd9ddd1-4d20-43f6-abfa-fc3c07406f94_ContentBits">
    <vt:lpwstr>0</vt:lpwstr>
  </property>
</Properties>
</file>